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58520" w14:textId="77777777" w:rsidR="00EB1BDD" w:rsidRDefault="00EB1BDD">
      <w:pPr>
        <w:spacing w:after="280" w:line="240" w:lineRule="auto"/>
        <w:jc w:val="center"/>
        <w:rPr>
          <w:rFonts w:ascii="Times New Roman" w:eastAsia="Times New Roman" w:hAnsi="Times New Roman" w:cs="Times New Roman"/>
          <w:b/>
          <w:i/>
          <w:sz w:val="24"/>
          <w:szCs w:val="24"/>
        </w:rPr>
      </w:pPr>
    </w:p>
    <w:p w14:paraId="06B3483D" w14:textId="57D5577E" w:rsidR="007D4464" w:rsidRPr="007D4464" w:rsidRDefault="007D4464" w:rsidP="007D4464">
      <w:pPr>
        <w:spacing w:after="280" w:line="240" w:lineRule="auto"/>
        <w:rPr>
          <w:rFonts w:ascii="Times New Roman" w:eastAsia="Times New Roman" w:hAnsi="Times New Roman" w:cs="Times New Roman"/>
          <w:bCs/>
          <w:iCs/>
          <w:color w:val="FF0000"/>
          <w:sz w:val="24"/>
          <w:szCs w:val="24"/>
        </w:rPr>
      </w:pPr>
      <w:r>
        <w:rPr>
          <w:rFonts w:ascii="Times New Roman" w:eastAsia="Times New Roman" w:hAnsi="Times New Roman" w:cs="Times New Roman"/>
          <w:bCs/>
          <w:iCs/>
          <w:color w:val="FF0000"/>
          <w:sz w:val="24"/>
          <w:szCs w:val="24"/>
        </w:rPr>
        <w:t>Weak local site description and surrounding uses</w:t>
      </w:r>
      <w:r>
        <w:rPr>
          <w:rFonts w:ascii="Times New Roman" w:eastAsia="Times New Roman" w:hAnsi="Times New Roman" w:cs="Times New Roman"/>
          <w:bCs/>
          <w:iCs/>
          <w:color w:val="FF0000"/>
          <w:sz w:val="24"/>
          <w:szCs w:val="24"/>
        </w:rPr>
        <w:br/>
        <w:t>No assessment of entitlement process or risk</w:t>
      </w:r>
      <w:r>
        <w:rPr>
          <w:rFonts w:ascii="Times New Roman" w:eastAsia="Times New Roman" w:hAnsi="Times New Roman" w:cs="Times New Roman"/>
          <w:bCs/>
          <w:iCs/>
          <w:color w:val="FF0000"/>
          <w:sz w:val="24"/>
          <w:szCs w:val="24"/>
        </w:rPr>
        <w:br/>
        <w:t>Decent competitive assessment but not related in recommendations.</w:t>
      </w:r>
      <w:r>
        <w:rPr>
          <w:rFonts w:ascii="Times New Roman" w:eastAsia="Times New Roman" w:hAnsi="Times New Roman" w:cs="Times New Roman"/>
          <w:bCs/>
          <w:iCs/>
          <w:color w:val="FF0000"/>
          <w:sz w:val="24"/>
          <w:szCs w:val="24"/>
        </w:rPr>
        <w:br/>
        <w:t>Too much market detail without relation to the recommendations</w:t>
      </w:r>
      <w:r>
        <w:rPr>
          <w:rFonts w:ascii="Times New Roman" w:eastAsia="Times New Roman" w:hAnsi="Times New Roman" w:cs="Times New Roman"/>
          <w:bCs/>
          <w:iCs/>
          <w:color w:val="FF0000"/>
          <w:sz w:val="24"/>
          <w:szCs w:val="24"/>
        </w:rPr>
        <w:br/>
        <w:t>Reasonable attempt to relate demand to affordability</w:t>
      </w:r>
    </w:p>
    <w:p w14:paraId="4918C0A0" w14:textId="77777777" w:rsidR="00EB1BDD" w:rsidRDefault="00EB1BDD">
      <w:pPr>
        <w:spacing w:after="280" w:line="240" w:lineRule="auto"/>
        <w:jc w:val="center"/>
        <w:rPr>
          <w:rFonts w:ascii="Times New Roman" w:eastAsia="Times New Roman" w:hAnsi="Times New Roman" w:cs="Times New Roman"/>
          <w:b/>
          <w:i/>
          <w:sz w:val="24"/>
          <w:szCs w:val="24"/>
        </w:rPr>
      </w:pPr>
    </w:p>
    <w:p w14:paraId="584165D8" w14:textId="77777777" w:rsidR="00EB1BDD" w:rsidRDefault="008017A1">
      <w:pPr>
        <w:spacing w:after="28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Market Research for </w:t>
      </w:r>
    </w:p>
    <w:p w14:paraId="5FECE2CA" w14:textId="77777777" w:rsidR="00EB1BDD" w:rsidRDefault="008017A1">
      <w:pPr>
        <w:ind w:left="2160" w:right="-137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8203 NE 159th St, Kenmore, WA 98028</w:t>
      </w:r>
    </w:p>
    <w:p w14:paraId="1DC538A0" w14:textId="77777777" w:rsidR="00EB1BDD" w:rsidRDefault="00EB1BDD">
      <w:pPr>
        <w:ind w:left="1440" w:right="-13760"/>
        <w:rPr>
          <w:rFonts w:ascii="Times New Roman" w:eastAsia="Times New Roman" w:hAnsi="Times New Roman" w:cs="Times New Roman"/>
          <w:b/>
          <w:i/>
          <w:sz w:val="24"/>
          <w:szCs w:val="24"/>
        </w:rPr>
      </w:pPr>
    </w:p>
    <w:p w14:paraId="321A126A" w14:textId="57D12E8B" w:rsidR="00EB1BDD" w:rsidRDefault="008017A1">
      <w:pPr>
        <w:spacing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 36</w:t>
      </w:r>
      <w:r w:rsidR="007D4464">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 </w:t>
      </w:r>
      <w:r w:rsidR="007D4464">
        <w:rPr>
          <w:rFonts w:ascii="Times New Roman" w:eastAsia="Times New Roman" w:hAnsi="Times New Roman" w:cs="Times New Roman"/>
          <w:sz w:val="24"/>
          <w:szCs w:val="24"/>
        </w:rPr>
        <w:t>Development</w:t>
      </w:r>
    </w:p>
    <w:p w14:paraId="2D414081" w14:textId="77777777" w:rsidR="00EB1BDD" w:rsidRDefault="008017A1">
      <w:pPr>
        <w:spacing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 University of Washington</w:t>
      </w:r>
    </w:p>
    <w:p w14:paraId="3B546018" w14:textId="77777777" w:rsidR="00EB1BDD" w:rsidRDefault="008017A1">
      <w:pPr>
        <w:spacing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Matt Disston</w:t>
      </w:r>
    </w:p>
    <w:p w14:paraId="5D83B385" w14:textId="34D4487F" w:rsidR="00EB1BDD" w:rsidRDefault="00EB1BDD">
      <w:pPr>
        <w:spacing w:after="280" w:line="240" w:lineRule="auto"/>
        <w:jc w:val="center"/>
        <w:rPr>
          <w:rFonts w:ascii="Times New Roman" w:eastAsia="Times New Roman" w:hAnsi="Times New Roman" w:cs="Times New Roman"/>
          <w:sz w:val="24"/>
          <w:szCs w:val="24"/>
        </w:rPr>
      </w:pPr>
    </w:p>
    <w:p w14:paraId="208AED94" w14:textId="77777777" w:rsidR="00EB1BDD" w:rsidRDefault="008017A1">
      <w:pPr>
        <w:ind w:right="-13760"/>
        <w:rPr>
          <w:sz w:val="25"/>
          <w:szCs w:val="25"/>
        </w:rPr>
      </w:pPr>
      <w:r>
        <w:br w:type="page"/>
      </w:r>
    </w:p>
    <w:p w14:paraId="0CC90EB3" w14:textId="77777777" w:rsidR="00EB1BDD" w:rsidRDefault="00EB1BDD">
      <w:pPr>
        <w:ind w:right="-13760"/>
        <w:rPr>
          <w:sz w:val="25"/>
          <w:szCs w:val="25"/>
        </w:rPr>
      </w:pPr>
    </w:p>
    <w:p w14:paraId="1845AAE4" w14:textId="0EF36443" w:rsidR="00EB1BDD" w:rsidRPr="008A62A0" w:rsidRDefault="008017A1">
      <w:pPr>
        <w:ind w:right="-13760"/>
        <w:rPr>
          <w:color w:val="FF0000"/>
          <w:sz w:val="25"/>
          <w:szCs w:val="25"/>
        </w:rPr>
      </w:pPr>
      <w:r>
        <w:rPr>
          <w:b/>
          <w:sz w:val="32"/>
          <w:szCs w:val="32"/>
        </w:rPr>
        <w:t xml:space="preserve">Describe the </w:t>
      </w:r>
      <w:proofErr w:type="gramStart"/>
      <w:r>
        <w:rPr>
          <w:b/>
          <w:sz w:val="32"/>
          <w:szCs w:val="32"/>
        </w:rPr>
        <w:t>location</w:t>
      </w:r>
      <w:proofErr w:type="gramEnd"/>
    </w:p>
    <w:p w14:paraId="43B9B9B4" w14:textId="77777777" w:rsidR="00EB1BDD" w:rsidRDefault="008017A1">
      <w:pPr>
        <w:numPr>
          <w:ilvl w:val="1"/>
          <w:numId w:val="1"/>
        </w:numPr>
        <w:ind w:right="-13760"/>
        <w:rPr>
          <w:sz w:val="25"/>
          <w:szCs w:val="25"/>
        </w:rPr>
      </w:pPr>
      <w:r>
        <w:t xml:space="preserve">The site address is 8203 NE 159th St, Kenmore, WA 98028. Right now there </w:t>
      </w:r>
    </w:p>
    <w:p w14:paraId="4716162B" w14:textId="77777777" w:rsidR="00EB1BDD" w:rsidRDefault="008017A1">
      <w:pPr>
        <w:ind w:left="720" w:right="-13760" w:firstLine="720"/>
      </w:pPr>
      <w:r>
        <w:t xml:space="preserve">are not any construction buildings on the site, it is a vacant land. The site is a </w:t>
      </w:r>
    </w:p>
    <w:p w14:paraId="355D390D" w14:textId="77777777" w:rsidR="00EB1BDD" w:rsidRDefault="008017A1">
      <w:pPr>
        <w:ind w:left="720" w:right="-13760" w:firstLine="720"/>
      </w:pPr>
      <w:r>
        <w:t xml:space="preserve">flat 11,000 sq ft building lot. It is very close to </w:t>
      </w:r>
      <w:proofErr w:type="spellStart"/>
      <w:r>
        <w:t>Inglemoor</w:t>
      </w:r>
      <w:proofErr w:type="spellEnd"/>
      <w:r>
        <w:t xml:space="preserve"> High School and </w:t>
      </w:r>
    </w:p>
    <w:p w14:paraId="546281DC" w14:textId="77777777" w:rsidR="00EB1BDD" w:rsidRDefault="008017A1">
      <w:pPr>
        <w:ind w:left="720" w:right="-13760" w:firstLine="720"/>
      </w:pPr>
      <w:r>
        <w:t>Moorland elementary school.</w:t>
      </w:r>
    </w:p>
    <w:p w14:paraId="621CC277" w14:textId="77777777" w:rsidR="00EB1BDD" w:rsidRDefault="008017A1">
      <w:pPr>
        <w:ind w:left="720" w:right="-13760"/>
      </w:pPr>
      <w:r>
        <w:t xml:space="preserve">     -    The site has a triangular shape with dimensions of 165' x 131' x 115' roughly.</w:t>
      </w:r>
    </w:p>
    <w:p w14:paraId="045D3E81" w14:textId="77777777" w:rsidR="00EB1BDD" w:rsidRDefault="008017A1">
      <w:pPr>
        <w:ind w:left="720" w:right="-13760" w:firstLine="720"/>
      </w:pPr>
      <w:r>
        <w:t xml:space="preserve">The total area of the site is 0.25 Acre. </w:t>
      </w:r>
    </w:p>
    <w:p w14:paraId="0833843A" w14:textId="77777777" w:rsidR="00EB1BDD" w:rsidRDefault="00EB1BDD">
      <w:pPr>
        <w:ind w:left="720" w:right="-13760" w:firstLine="720"/>
        <w:rPr>
          <w:rFonts w:ascii="Verdana" w:eastAsia="Verdana" w:hAnsi="Verdana" w:cs="Verdana"/>
          <w:color w:val="444444"/>
          <w:sz w:val="23"/>
          <w:szCs w:val="23"/>
          <w:highlight w:val="white"/>
        </w:rPr>
      </w:pPr>
    </w:p>
    <w:p w14:paraId="3B6462BD" w14:textId="5FE56881" w:rsidR="00EB1BDD" w:rsidRPr="008A62A0" w:rsidRDefault="008017A1">
      <w:pPr>
        <w:ind w:right="-13760"/>
        <w:rPr>
          <w:b/>
          <w:color w:val="FF0000"/>
          <w:sz w:val="32"/>
          <w:szCs w:val="32"/>
        </w:rPr>
      </w:pPr>
      <w:r>
        <w:rPr>
          <w:b/>
          <w:sz w:val="32"/>
          <w:szCs w:val="32"/>
        </w:rPr>
        <w:t xml:space="preserve">Dynamics/activities/land uses </w:t>
      </w:r>
      <w:proofErr w:type="gramStart"/>
      <w:r>
        <w:rPr>
          <w:b/>
          <w:sz w:val="32"/>
          <w:szCs w:val="32"/>
        </w:rPr>
        <w:t>nearby</w:t>
      </w:r>
      <w:proofErr w:type="gramEnd"/>
    </w:p>
    <w:p w14:paraId="152CB2F2" w14:textId="77777777" w:rsidR="00EB1BDD" w:rsidRDefault="008017A1">
      <w:pPr>
        <w:numPr>
          <w:ilvl w:val="1"/>
          <w:numId w:val="1"/>
        </w:numPr>
        <w:pBdr>
          <w:top w:val="nil"/>
          <w:left w:val="nil"/>
          <w:bottom w:val="nil"/>
          <w:right w:val="nil"/>
          <w:between w:val="nil"/>
        </w:pBdr>
        <w:ind w:right="-13760"/>
        <w:rPr>
          <w:sz w:val="25"/>
          <w:szCs w:val="25"/>
        </w:rPr>
      </w:pPr>
      <w:r>
        <w:t xml:space="preserve">All the buildings near site are for residential use. The neighborhood has </w:t>
      </w:r>
    </w:p>
    <w:p w14:paraId="6ED9AFEC" w14:textId="77777777" w:rsidR="00EB1BDD" w:rsidRDefault="008017A1">
      <w:pPr>
        <w:pBdr>
          <w:top w:val="nil"/>
          <w:left w:val="nil"/>
          <w:bottom w:val="nil"/>
          <w:right w:val="nil"/>
          <w:between w:val="nil"/>
        </w:pBdr>
        <w:ind w:left="1440" w:right="-13760"/>
      </w:pPr>
      <w:r>
        <w:t xml:space="preserve">some retail stores and churches. The site is 2.5 miles away from Kenmore </w:t>
      </w:r>
    </w:p>
    <w:p w14:paraId="303EF1E9" w14:textId="77777777" w:rsidR="00EB1BDD" w:rsidRDefault="008017A1">
      <w:pPr>
        <w:pBdr>
          <w:top w:val="nil"/>
          <w:left w:val="nil"/>
          <w:bottom w:val="nil"/>
          <w:right w:val="nil"/>
          <w:between w:val="nil"/>
        </w:pBdr>
        <w:ind w:left="1440" w:right="-13760"/>
      </w:pPr>
      <w:r>
        <w:t>Library, 1.5 miles from Inglewood Golf Club, and 2 miles from lake Washington.</w:t>
      </w:r>
    </w:p>
    <w:p w14:paraId="79D3572D" w14:textId="77777777" w:rsidR="00EB1BDD" w:rsidRDefault="00EB1BDD">
      <w:pPr>
        <w:ind w:left="720" w:right="-13760" w:firstLine="720"/>
        <w:rPr>
          <w:sz w:val="25"/>
          <w:szCs w:val="25"/>
        </w:rPr>
      </w:pPr>
    </w:p>
    <w:p w14:paraId="3BC449E4" w14:textId="0186FB8B" w:rsidR="00EB1BDD" w:rsidRPr="008A62A0" w:rsidRDefault="008017A1">
      <w:pPr>
        <w:ind w:right="-13760"/>
        <w:rPr>
          <w:color w:val="FF0000"/>
          <w:sz w:val="25"/>
          <w:szCs w:val="25"/>
        </w:rPr>
      </w:pPr>
      <w:r>
        <w:rPr>
          <w:b/>
          <w:sz w:val="32"/>
          <w:szCs w:val="32"/>
        </w:rPr>
        <w:t>Transportation characteristics</w:t>
      </w:r>
    </w:p>
    <w:p w14:paraId="74538312" w14:textId="77777777" w:rsidR="00EB1BDD" w:rsidRDefault="008017A1">
      <w:pPr>
        <w:numPr>
          <w:ilvl w:val="1"/>
          <w:numId w:val="1"/>
        </w:numPr>
        <w:ind w:right="-13760"/>
        <w:rPr>
          <w:sz w:val="25"/>
          <w:szCs w:val="25"/>
        </w:rPr>
      </w:pPr>
      <w:r>
        <w:t xml:space="preserve">The site is near 522 Highway, 5 minutes away from the entrance. </w:t>
      </w:r>
    </w:p>
    <w:p w14:paraId="42D8422C" w14:textId="77777777" w:rsidR="00EB1BDD" w:rsidRDefault="008017A1">
      <w:pPr>
        <w:ind w:left="1440" w:right="-13760"/>
      </w:pPr>
      <w:r>
        <w:t xml:space="preserve">Driving is recommended. Bus stops close to site only have Bus 234 and </w:t>
      </w:r>
    </w:p>
    <w:p w14:paraId="7D6F7CE7" w14:textId="77777777" w:rsidR="00EB1BDD" w:rsidRDefault="008017A1">
      <w:pPr>
        <w:ind w:left="1440" w:right="-13760"/>
      </w:pPr>
      <w:r>
        <w:t xml:space="preserve">244. It takes about 10 </w:t>
      </w:r>
      <w:proofErr w:type="spellStart"/>
      <w:r>
        <w:t>minutes walk</w:t>
      </w:r>
      <w:proofErr w:type="spellEnd"/>
      <w:r>
        <w:t xml:space="preserve"> to </w:t>
      </w:r>
      <w:proofErr w:type="spellStart"/>
      <w:r>
        <w:t>Inglemoor</w:t>
      </w:r>
      <w:proofErr w:type="spellEnd"/>
      <w:r>
        <w:t xml:space="preserve"> High school.</w:t>
      </w:r>
    </w:p>
    <w:p w14:paraId="3917B1D7" w14:textId="77777777" w:rsidR="00EB1BDD" w:rsidRDefault="00EB1BDD">
      <w:pPr>
        <w:ind w:left="1440" w:right="-13760"/>
        <w:rPr>
          <w:sz w:val="25"/>
          <w:szCs w:val="25"/>
        </w:rPr>
      </w:pPr>
    </w:p>
    <w:p w14:paraId="5D0E4BC3" w14:textId="10BCB43C" w:rsidR="00EB1BDD" w:rsidRPr="008A62A0" w:rsidRDefault="008017A1">
      <w:pPr>
        <w:ind w:right="-13760"/>
        <w:rPr>
          <w:color w:val="FF0000"/>
          <w:sz w:val="25"/>
          <w:szCs w:val="25"/>
        </w:rPr>
      </w:pPr>
      <w:r>
        <w:rPr>
          <w:b/>
          <w:sz w:val="32"/>
          <w:szCs w:val="32"/>
        </w:rPr>
        <w:t>Visibility</w:t>
      </w:r>
    </w:p>
    <w:p w14:paraId="087D5CB2" w14:textId="77777777" w:rsidR="00EB1BDD" w:rsidRDefault="008017A1">
      <w:pPr>
        <w:numPr>
          <w:ilvl w:val="1"/>
          <w:numId w:val="1"/>
        </w:numPr>
        <w:pBdr>
          <w:top w:val="nil"/>
          <w:left w:val="nil"/>
          <w:bottom w:val="nil"/>
          <w:right w:val="nil"/>
          <w:between w:val="nil"/>
        </w:pBdr>
        <w:ind w:right="-13760"/>
        <w:rPr>
          <w:sz w:val="25"/>
          <w:szCs w:val="25"/>
        </w:rPr>
      </w:pPr>
      <w:r>
        <w:t xml:space="preserve">Since the site is located at a residential neighborhood, The site's </w:t>
      </w:r>
      <w:proofErr w:type="gramStart"/>
      <w:r>
        <w:t>visibility</w:t>
      </w:r>
      <w:proofErr w:type="gramEnd"/>
      <w:r>
        <w:t xml:space="preserve"> </w:t>
      </w:r>
    </w:p>
    <w:p w14:paraId="4C59DEDF" w14:textId="77777777" w:rsidR="00EB1BDD" w:rsidRDefault="008017A1">
      <w:pPr>
        <w:pBdr>
          <w:top w:val="nil"/>
          <w:left w:val="nil"/>
          <w:bottom w:val="nil"/>
          <w:right w:val="nil"/>
          <w:between w:val="nil"/>
        </w:pBdr>
        <w:ind w:left="1440" w:right="-13760"/>
      </w:pPr>
      <w:r>
        <w:t>is limited to the surrounding neighbors only.</w:t>
      </w:r>
    </w:p>
    <w:p w14:paraId="2EC7F26B" w14:textId="77777777" w:rsidR="00EB1BDD" w:rsidRDefault="00EB1BDD">
      <w:pPr>
        <w:pBdr>
          <w:top w:val="nil"/>
          <w:left w:val="nil"/>
          <w:bottom w:val="nil"/>
          <w:right w:val="nil"/>
          <w:between w:val="nil"/>
        </w:pBdr>
        <w:ind w:left="1440" w:right="-13760"/>
        <w:rPr>
          <w:sz w:val="25"/>
          <w:szCs w:val="25"/>
        </w:rPr>
      </w:pPr>
    </w:p>
    <w:p w14:paraId="47ABD1CE" w14:textId="6DA06544" w:rsidR="00EB1BDD" w:rsidRPr="008A62A0" w:rsidRDefault="008017A1">
      <w:pPr>
        <w:ind w:right="-13760"/>
        <w:rPr>
          <w:color w:val="FF0000"/>
          <w:sz w:val="25"/>
          <w:szCs w:val="25"/>
        </w:rPr>
      </w:pPr>
      <w:r>
        <w:rPr>
          <w:b/>
          <w:sz w:val="32"/>
          <w:szCs w:val="32"/>
        </w:rPr>
        <w:t>Entitlement requirements</w:t>
      </w:r>
    </w:p>
    <w:p w14:paraId="259CAAFF" w14:textId="77777777" w:rsidR="00EB1BDD" w:rsidRDefault="008017A1">
      <w:pPr>
        <w:numPr>
          <w:ilvl w:val="1"/>
          <w:numId w:val="1"/>
        </w:numPr>
        <w:pBdr>
          <w:top w:val="nil"/>
          <w:left w:val="nil"/>
          <w:bottom w:val="nil"/>
          <w:right w:val="nil"/>
          <w:between w:val="nil"/>
        </w:pBdr>
        <w:ind w:right="-13760"/>
        <w:rPr>
          <w:sz w:val="25"/>
          <w:szCs w:val="25"/>
        </w:rPr>
      </w:pPr>
      <w:r>
        <w:t xml:space="preserve">The Parcel Number for the site is 8950500020, based on Kenmore </w:t>
      </w:r>
      <w:proofErr w:type="gramStart"/>
      <w:r>
        <w:t>Zoning</w:t>
      </w:r>
      <w:proofErr w:type="gramEnd"/>
    </w:p>
    <w:p w14:paraId="0658C657" w14:textId="77777777" w:rsidR="00EB1BDD" w:rsidRDefault="008017A1">
      <w:pPr>
        <w:pBdr>
          <w:top w:val="nil"/>
          <w:left w:val="nil"/>
          <w:bottom w:val="nil"/>
          <w:right w:val="nil"/>
          <w:between w:val="nil"/>
        </w:pBdr>
        <w:ind w:left="1440" w:right="-13760"/>
      </w:pPr>
      <w:r>
        <w:t xml:space="preserve">Book, the site is Categorized as R-6 (Residential 6 Dwellings Per Acre). </w:t>
      </w:r>
    </w:p>
    <w:p w14:paraId="16BDB8F2" w14:textId="77777777" w:rsidR="00EB1BDD" w:rsidRDefault="00EB1BDD">
      <w:pPr>
        <w:pBdr>
          <w:top w:val="nil"/>
          <w:left w:val="nil"/>
          <w:bottom w:val="nil"/>
          <w:right w:val="nil"/>
          <w:between w:val="nil"/>
        </w:pBdr>
        <w:ind w:left="1440" w:right="-13760"/>
      </w:pPr>
    </w:p>
    <w:p w14:paraId="076CDE61" w14:textId="77777777" w:rsidR="00EB1BDD" w:rsidRDefault="008017A1">
      <w:pPr>
        <w:ind w:right="-13760"/>
        <w:rPr>
          <w:b/>
          <w:sz w:val="32"/>
          <w:szCs w:val="32"/>
        </w:rPr>
      </w:pPr>
      <w:r>
        <w:rPr>
          <w:b/>
          <w:sz w:val="32"/>
          <w:szCs w:val="32"/>
        </w:rPr>
        <w:t>Physical/environmental characteristics</w:t>
      </w:r>
    </w:p>
    <w:p w14:paraId="769BE722" w14:textId="77777777" w:rsidR="00EB1BDD" w:rsidRDefault="008017A1">
      <w:pPr>
        <w:numPr>
          <w:ilvl w:val="1"/>
          <w:numId w:val="1"/>
        </w:numPr>
        <w:pBdr>
          <w:top w:val="nil"/>
          <w:left w:val="nil"/>
          <w:bottom w:val="nil"/>
          <w:right w:val="nil"/>
          <w:between w:val="nil"/>
        </w:pBdr>
        <w:ind w:right="-13760"/>
        <w:rPr>
          <w:sz w:val="25"/>
          <w:szCs w:val="25"/>
        </w:rPr>
      </w:pPr>
      <w:r>
        <w:t xml:space="preserve">The site is 2 miles away from Lake Washington, and have golf court and </w:t>
      </w:r>
    </w:p>
    <w:p w14:paraId="55FEF085" w14:textId="77777777" w:rsidR="00EB1BDD" w:rsidRDefault="008017A1">
      <w:pPr>
        <w:pBdr>
          <w:top w:val="nil"/>
          <w:left w:val="nil"/>
          <w:bottom w:val="nil"/>
          <w:right w:val="nil"/>
          <w:between w:val="nil"/>
        </w:pBdr>
        <w:ind w:left="1440" w:right="-13760"/>
      </w:pPr>
      <w:r>
        <w:t xml:space="preserve">Saint Edward State Park nearby. Landscape around the site include </w:t>
      </w:r>
    </w:p>
    <w:p w14:paraId="305E112F" w14:textId="77777777" w:rsidR="00EB1BDD" w:rsidRDefault="008017A1">
      <w:pPr>
        <w:pBdr>
          <w:top w:val="nil"/>
          <w:left w:val="nil"/>
          <w:bottom w:val="nil"/>
          <w:right w:val="nil"/>
          <w:between w:val="nil"/>
        </w:pBdr>
        <w:ind w:left="1440" w:right="-13760"/>
      </w:pPr>
      <w:r>
        <w:t>bushes and trees. Overall it is a quiet neighborhood area.</w:t>
      </w:r>
    </w:p>
    <w:p w14:paraId="23C5FD03" w14:textId="77777777" w:rsidR="00EB1BDD" w:rsidRDefault="00EB1BDD">
      <w:pPr>
        <w:pBdr>
          <w:top w:val="nil"/>
          <w:left w:val="nil"/>
          <w:bottom w:val="nil"/>
          <w:right w:val="nil"/>
          <w:between w:val="nil"/>
        </w:pBdr>
        <w:ind w:left="1440" w:right="-13760"/>
      </w:pPr>
    </w:p>
    <w:p w14:paraId="7D8813C2" w14:textId="37A05828" w:rsidR="00EB1BDD" w:rsidRPr="008A62A0" w:rsidRDefault="008017A1">
      <w:pPr>
        <w:ind w:right="-13760"/>
        <w:rPr>
          <w:color w:val="FF0000"/>
          <w:sz w:val="25"/>
          <w:szCs w:val="25"/>
        </w:rPr>
      </w:pPr>
      <w:r>
        <w:rPr>
          <w:b/>
          <w:sz w:val="32"/>
          <w:szCs w:val="32"/>
        </w:rPr>
        <w:t xml:space="preserve">General MSA market </w:t>
      </w:r>
      <w:r w:rsidRPr="008A62A0">
        <w:rPr>
          <w:b/>
          <w:color w:val="FF0000"/>
          <w:sz w:val="32"/>
          <w:szCs w:val="32"/>
        </w:rPr>
        <w:t>dynamics</w:t>
      </w:r>
    </w:p>
    <w:p w14:paraId="686AF81A" w14:textId="77777777" w:rsidR="00EB1BDD" w:rsidRDefault="008017A1">
      <w:pPr>
        <w:numPr>
          <w:ilvl w:val="0"/>
          <w:numId w:val="4"/>
        </w:numPr>
        <w:ind w:right="-13760"/>
      </w:pPr>
      <w:proofErr w:type="gramStart"/>
      <w:r>
        <w:t>City  of</w:t>
      </w:r>
      <w:proofErr w:type="gramEnd"/>
      <w:r>
        <w:t xml:space="preserve"> Kenmore belongs to King County, which is included in the </w:t>
      </w:r>
    </w:p>
    <w:p w14:paraId="6ABCFCBF" w14:textId="77777777" w:rsidR="00EB1BDD" w:rsidRDefault="008017A1">
      <w:pPr>
        <w:ind w:left="720" w:right="-13760" w:firstLine="720"/>
      </w:pPr>
      <w:r>
        <w:t xml:space="preserve">Seattle-Tacoma-Bellevue metropolitan division. The population of </w:t>
      </w:r>
    </w:p>
    <w:p w14:paraId="6F391C87" w14:textId="77777777" w:rsidR="00EB1BDD" w:rsidRDefault="008017A1">
      <w:pPr>
        <w:ind w:left="720" w:right="-13760" w:firstLine="720"/>
      </w:pPr>
      <w:r>
        <w:t>Seattle-Tacoma-Bellevue MSA has increased by 1.32% from 2013 to 2017.</w:t>
      </w:r>
    </w:p>
    <w:p w14:paraId="7D084B85" w14:textId="77777777" w:rsidR="00EB1BDD" w:rsidRDefault="008017A1">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41E04AA" wp14:editId="0EA5B385">
            <wp:extent cx="5943600" cy="4622800"/>
            <wp:effectExtent l="0" t="0" r="0" b="0"/>
            <wp:docPr id="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
                    <a:srcRect/>
                    <a:stretch>
                      <a:fillRect/>
                    </a:stretch>
                  </pic:blipFill>
                  <pic:spPr>
                    <a:xfrm>
                      <a:off x="0" y="0"/>
                      <a:ext cx="5943600" cy="4622800"/>
                    </a:xfrm>
                    <a:prstGeom prst="rect">
                      <a:avLst/>
                    </a:prstGeom>
                    <a:ln/>
                  </pic:spPr>
                </pic:pic>
              </a:graphicData>
            </a:graphic>
          </wp:inline>
        </w:drawing>
      </w:r>
    </w:p>
    <w:p w14:paraId="42461D7C" w14:textId="77777777" w:rsidR="00EB1BDD" w:rsidRDefault="00EB1BDD">
      <w:pPr>
        <w:spacing w:line="240" w:lineRule="auto"/>
        <w:rPr>
          <w:rFonts w:ascii="Times New Roman" w:eastAsia="Times New Roman" w:hAnsi="Times New Roman" w:cs="Times New Roman"/>
        </w:rPr>
      </w:pPr>
    </w:p>
    <w:p w14:paraId="16E5F4BE" w14:textId="77777777" w:rsidR="00EB1BDD" w:rsidRDefault="008A62A0">
      <w:pPr>
        <w:pBdr>
          <w:top w:val="nil"/>
          <w:left w:val="nil"/>
          <w:bottom w:val="nil"/>
          <w:right w:val="nil"/>
          <w:between w:val="nil"/>
        </w:pBdr>
        <w:ind w:right="-13760" w:firstLine="720"/>
      </w:pPr>
      <w:r>
        <w:rPr>
          <w:color w:val="FF0000"/>
        </w:rPr>
        <w:t>10</w:t>
      </w:r>
      <w:r w:rsidR="008017A1">
        <w:t xml:space="preserve">There are 734777 households in the MSA, 99% are in family households. In married-couple </w:t>
      </w:r>
    </w:p>
    <w:p w14:paraId="0EEAD692" w14:textId="77777777" w:rsidR="00EB1BDD" w:rsidRDefault="008017A1">
      <w:pPr>
        <w:pBdr>
          <w:top w:val="nil"/>
          <w:left w:val="nil"/>
          <w:bottom w:val="nil"/>
          <w:right w:val="nil"/>
          <w:between w:val="nil"/>
        </w:pBdr>
        <w:ind w:right="-13760"/>
      </w:pPr>
      <w:r>
        <w:t xml:space="preserve">family </w:t>
      </w:r>
      <w:proofErr w:type="gramStart"/>
      <w:r>
        <w:t>households,  66</w:t>
      </w:r>
      <w:proofErr w:type="gramEnd"/>
      <w:r>
        <w:t xml:space="preserve">% of the them are married over 6 years. In Seattle City, there are 88105 </w:t>
      </w:r>
    </w:p>
    <w:p w14:paraId="623665B2" w14:textId="77777777" w:rsidR="00EB1BDD" w:rsidRDefault="008017A1">
      <w:pPr>
        <w:pBdr>
          <w:top w:val="nil"/>
          <w:left w:val="nil"/>
          <w:bottom w:val="nil"/>
          <w:right w:val="nil"/>
          <w:between w:val="nil"/>
        </w:pBdr>
        <w:ind w:right="-13760"/>
      </w:pPr>
      <w:r>
        <w:t>households, and 98% are in family households.</w:t>
      </w:r>
    </w:p>
    <w:p w14:paraId="5BE84284" w14:textId="77777777" w:rsidR="00EB1BDD" w:rsidRDefault="008017A1">
      <w:pP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5E4ACEB" wp14:editId="30CA5E4E">
            <wp:extent cx="5943600" cy="3289300"/>
            <wp:effectExtent l="0" t="0" r="0" b="0"/>
            <wp:docPr id="2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
                    <a:srcRect/>
                    <a:stretch>
                      <a:fillRect/>
                    </a:stretch>
                  </pic:blipFill>
                  <pic:spPr>
                    <a:xfrm>
                      <a:off x="0" y="0"/>
                      <a:ext cx="5943600" cy="3289300"/>
                    </a:xfrm>
                    <a:prstGeom prst="rect">
                      <a:avLst/>
                    </a:prstGeom>
                    <a:ln/>
                  </pic:spPr>
                </pic:pic>
              </a:graphicData>
            </a:graphic>
          </wp:inline>
        </w:drawing>
      </w:r>
    </w:p>
    <w:p w14:paraId="784CAE85" w14:textId="77777777" w:rsidR="00EB1BDD" w:rsidRDefault="00EB1BDD">
      <w:pPr>
        <w:spacing w:line="240" w:lineRule="auto"/>
        <w:rPr>
          <w:rFonts w:ascii="Times New Roman" w:eastAsia="Times New Roman" w:hAnsi="Times New Roman" w:cs="Times New Roman"/>
        </w:rPr>
      </w:pPr>
    </w:p>
    <w:p w14:paraId="30D02C16" w14:textId="77777777" w:rsidR="00EB1BDD" w:rsidRDefault="008017A1">
      <w:pPr>
        <w:ind w:right="-13760"/>
      </w:pPr>
      <w:r>
        <w:rPr>
          <w:b/>
          <w:sz w:val="32"/>
          <w:szCs w:val="32"/>
        </w:rPr>
        <w:t>Trends in the past five years</w:t>
      </w:r>
      <w:r>
        <w:rPr>
          <w:b/>
          <w:sz w:val="25"/>
          <w:szCs w:val="25"/>
        </w:rPr>
        <w:t xml:space="preserve"> </w:t>
      </w:r>
      <w:r>
        <w:rPr>
          <w:rFonts w:ascii="Arial Unicode MS" w:eastAsia="Arial Unicode MS" w:hAnsi="Arial Unicode MS" w:cs="Arial Unicode MS"/>
        </w:rPr>
        <w:t>(*Census tracts used are 217，281.03，220.01，</w:t>
      </w:r>
    </w:p>
    <w:p w14:paraId="3D3826ED" w14:textId="77777777" w:rsidR="00EB1BDD" w:rsidRDefault="008017A1">
      <w:pPr>
        <w:ind w:right="-13760"/>
      </w:pPr>
      <w:r>
        <w:rPr>
          <w:rFonts w:ascii="Arial Unicode MS" w:eastAsia="Arial Unicode MS" w:hAnsi="Arial Unicode MS" w:cs="Arial Unicode MS"/>
        </w:rPr>
        <w:t>220.03，221.01，221.02，and 222.01)</w:t>
      </w:r>
    </w:p>
    <w:p w14:paraId="2E3A3142" w14:textId="77777777" w:rsidR="00EB1BDD" w:rsidRDefault="00EB1BDD">
      <w:pPr>
        <w:ind w:left="720" w:right="-13760"/>
        <w:rPr>
          <w:b/>
          <w:sz w:val="25"/>
          <w:szCs w:val="25"/>
        </w:rPr>
      </w:pPr>
    </w:p>
    <w:p w14:paraId="09807EAE" w14:textId="77777777" w:rsidR="00EB1BDD" w:rsidRDefault="008017A1">
      <w:pPr>
        <w:ind w:left="720" w:right="-13760" w:firstLine="720"/>
        <w:rPr>
          <w:b/>
          <w:sz w:val="25"/>
          <w:szCs w:val="25"/>
        </w:rPr>
      </w:pPr>
      <w:r>
        <w:rPr>
          <w:i/>
          <w:sz w:val="25"/>
          <w:szCs w:val="25"/>
          <w:u w:val="single"/>
        </w:rPr>
        <w:t>Population</w:t>
      </w:r>
    </w:p>
    <w:p w14:paraId="21889A8D" w14:textId="77777777" w:rsidR="00EB1BDD" w:rsidRDefault="008017A1">
      <w:pPr>
        <w:ind w:left="720" w:right="-13760"/>
      </w:pPr>
      <w:r>
        <w:t xml:space="preserve">Total population in the Census Tracts have been increased by 5.2%. </w:t>
      </w:r>
    </w:p>
    <w:p w14:paraId="109DD5B0" w14:textId="77777777" w:rsidR="00EB1BDD" w:rsidRDefault="008017A1">
      <w:pPr>
        <w:ind w:left="720" w:right="-13760"/>
      </w:pPr>
      <w:r>
        <w:t>There are more Middle age people in the area. It is not an aging population.</w:t>
      </w:r>
    </w:p>
    <w:p w14:paraId="121B78D6" w14:textId="77777777" w:rsidR="00EB1BDD" w:rsidRDefault="008017A1">
      <w:pPr>
        <w:ind w:right="-13760"/>
        <w:rPr>
          <w:sz w:val="25"/>
          <w:szCs w:val="25"/>
        </w:rPr>
      </w:pPr>
      <w:r>
        <w:rPr>
          <w:noProof/>
          <w:sz w:val="25"/>
          <w:szCs w:val="25"/>
        </w:rPr>
        <w:drawing>
          <wp:inline distT="114300" distB="114300" distL="114300" distR="114300" wp14:anchorId="5E90B33F" wp14:editId="70395AB7">
            <wp:extent cx="6248400" cy="1004888"/>
            <wp:effectExtent l="0" t="0" r="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
                    <a:srcRect/>
                    <a:stretch>
                      <a:fillRect/>
                    </a:stretch>
                  </pic:blipFill>
                  <pic:spPr>
                    <a:xfrm>
                      <a:off x="0" y="0"/>
                      <a:ext cx="6248400" cy="1004888"/>
                    </a:xfrm>
                    <a:prstGeom prst="rect">
                      <a:avLst/>
                    </a:prstGeom>
                    <a:ln/>
                  </pic:spPr>
                </pic:pic>
              </a:graphicData>
            </a:graphic>
          </wp:inline>
        </w:drawing>
      </w:r>
    </w:p>
    <w:p w14:paraId="42F7708D" w14:textId="77777777" w:rsidR="00EB1BDD" w:rsidRDefault="00EB1BDD">
      <w:pPr>
        <w:ind w:left="720" w:right="-13760"/>
        <w:rPr>
          <w:sz w:val="25"/>
          <w:szCs w:val="25"/>
        </w:rPr>
      </w:pPr>
    </w:p>
    <w:p w14:paraId="29A59DA7" w14:textId="77777777" w:rsidR="00EB1BDD" w:rsidRDefault="008017A1">
      <w:pPr>
        <w:ind w:left="720" w:right="-13760" w:firstLine="720"/>
        <w:rPr>
          <w:b/>
          <w:sz w:val="25"/>
          <w:szCs w:val="25"/>
        </w:rPr>
      </w:pPr>
      <w:r>
        <w:rPr>
          <w:i/>
          <w:sz w:val="25"/>
          <w:szCs w:val="25"/>
          <w:u w:val="single"/>
        </w:rPr>
        <w:t>Households</w:t>
      </w:r>
    </w:p>
    <w:p w14:paraId="519DCDA2" w14:textId="77777777" w:rsidR="00EB1BDD" w:rsidRDefault="008017A1">
      <w:pPr>
        <w:spacing w:line="240" w:lineRule="auto"/>
        <w:ind w:firstLine="720"/>
        <w:rPr>
          <w:sz w:val="25"/>
          <w:szCs w:val="25"/>
        </w:rPr>
      </w:pPr>
      <w:r>
        <w:t xml:space="preserve">In the census tracts, the total household is 15844 in 2017 while </w:t>
      </w:r>
      <w:proofErr w:type="gramStart"/>
      <w:r>
        <w:t>a</w:t>
      </w:r>
      <w:proofErr w:type="gramEnd"/>
      <w:r>
        <w:t xml:space="preserve"> upward trend can be observed during the past 5 years.</w:t>
      </w:r>
      <w:r>
        <w:rPr>
          <w:noProof/>
          <w:sz w:val="25"/>
          <w:szCs w:val="25"/>
        </w:rPr>
        <w:drawing>
          <wp:inline distT="114300" distB="114300" distL="114300" distR="114300" wp14:anchorId="635A0EB9" wp14:editId="10F3ACF2">
            <wp:extent cx="6208939" cy="557213"/>
            <wp:effectExtent l="0" t="0" r="0" b="0"/>
            <wp:docPr id="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6208939" cy="557213"/>
                    </a:xfrm>
                    <a:prstGeom prst="rect">
                      <a:avLst/>
                    </a:prstGeom>
                    <a:ln/>
                  </pic:spPr>
                </pic:pic>
              </a:graphicData>
            </a:graphic>
          </wp:inline>
        </w:drawing>
      </w:r>
    </w:p>
    <w:p w14:paraId="2DE6A202" w14:textId="77777777" w:rsidR="00EB1BDD" w:rsidRDefault="00EB1BDD">
      <w:pPr>
        <w:spacing w:line="240" w:lineRule="auto"/>
        <w:ind w:firstLine="720"/>
        <w:rPr>
          <w:sz w:val="25"/>
          <w:szCs w:val="25"/>
        </w:rPr>
      </w:pPr>
    </w:p>
    <w:p w14:paraId="03E1FE9F" w14:textId="77777777" w:rsidR="00EB1BDD" w:rsidRDefault="008017A1">
      <w:pPr>
        <w:ind w:left="720" w:right="-13760" w:firstLine="720"/>
        <w:rPr>
          <w:i/>
          <w:sz w:val="25"/>
          <w:szCs w:val="25"/>
          <w:u w:val="single"/>
        </w:rPr>
      </w:pPr>
      <w:r>
        <w:rPr>
          <w:i/>
          <w:sz w:val="25"/>
          <w:szCs w:val="25"/>
          <w:u w:val="single"/>
        </w:rPr>
        <w:t>Employment</w:t>
      </w:r>
    </w:p>
    <w:p w14:paraId="0FF1CFB7" w14:textId="77777777" w:rsidR="00EB1BDD" w:rsidRDefault="008017A1">
      <w:pPr>
        <w:pBdr>
          <w:top w:val="nil"/>
          <w:left w:val="nil"/>
          <w:bottom w:val="nil"/>
          <w:right w:val="nil"/>
          <w:between w:val="nil"/>
        </w:pBdr>
        <w:ind w:right="-13760" w:firstLine="720"/>
      </w:pPr>
      <w:r>
        <w:t xml:space="preserve">From 2013 to 2017, employment rate has increased 2.06%, and unemployment rate has </w:t>
      </w:r>
    </w:p>
    <w:p w14:paraId="4ABA4A90" w14:textId="77777777" w:rsidR="00EB1BDD" w:rsidRDefault="008017A1">
      <w:pPr>
        <w:pBdr>
          <w:top w:val="nil"/>
          <w:left w:val="nil"/>
          <w:bottom w:val="nil"/>
          <w:right w:val="nil"/>
          <w:between w:val="nil"/>
        </w:pBdr>
        <w:ind w:right="-13760"/>
      </w:pPr>
      <w:r>
        <w:t xml:space="preserve">decreased by 2.5%. </w:t>
      </w:r>
    </w:p>
    <w:p w14:paraId="67CB6128" w14:textId="77777777" w:rsidR="00EB1BDD" w:rsidRDefault="008017A1">
      <w:pPr>
        <w:spacing w:line="240" w:lineRule="auto"/>
        <w:rPr>
          <w:sz w:val="25"/>
          <w:szCs w:val="25"/>
        </w:rPr>
      </w:pPr>
      <w:r>
        <w:rPr>
          <w:noProof/>
          <w:sz w:val="25"/>
          <w:szCs w:val="25"/>
        </w:rPr>
        <w:lastRenderedPageBreak/>
        <w:drawing>
          <wp:inline distT="114300" distB="114300" distL="114300" distR="114300" wp14:anchorId="6F3E7C4E" wp14:editId="4B33A59C">
            <wp:extent cx="5943600" cy="647700"/>
            <wp:effectExtent l="0" t="0" r="0" b="0"/>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5943600" cy="647700"/>
                    </a:xfrm>
                    <a:prstGeom prst="rect">
                      <a:avLst/>
                    </a:prstGeom>
                    <a:ln/>
                  </pic:spPr>
                </pic:pic>
              </a:graphicData>
            </a:graphic>
          </wp:inline>
        </w:drawing>
      </w:r>
    </w:p>
    <w:p w14:paraId="005B3C7D" w14:textId="77777777" w:rsidR="00EB1BDD" w:rsidRDefault="00EB1BDD">
      <w:pPr>
        <w:spacing w:line="240" w:lineRule="auto"/>
        <w:rPr>
          <w:sz w:val="25"/>
          <w:szCs w:val="25"/>
        </w:rPr>
      </w:pPr>
    </w:p>
    <w:p w14:paraId="472C2BAD" w14:textId="77777777" w:rsidR="00EB1BDD" w:rsidRDefault="008017A1">
      <w:pPr>
        <w:ind w:right="-13760"/>
        <w:rPr>
          <w:sz w:val="25"/>
          <w:szCs w:val="25"/>
        </w:rPr>
      </w:pPr>
      <w:r>
        <w:rPr>
          <w:noProof/>
          <w:sz w:val="25"/>
          <w:szCs w:val="25"/>
        </w:rPr>
        <w:drawing>
          <wp:inline distT="114300" distB="114300" distL="114300" distR="114300" wp14:anchorId="17653375" wp14:editId="2073C48E">
            <wp:extent cx="5943600" cy="1600200"/>
            <wp:effectExtent l="0" t="0" r="0" b="0"/>
            <wp:docPr id="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
                    <a:srcRect/>
                    <a:stretch>
                      <a:fillRect/>
                    </a:stretch>
                  </pic:blipFill>
                  <pic:spPr>
                    <a:xfrm>
                      <a:off x="0" y="0"/>
                      <a:ext cx="5943600" cy="1600200"/>
                    </a:xfrm>
                    <a:prstGeom prst="rect">
                      <a:avLst/>
                    </a:prstGeom>
                    <a:ln/>
                  </pic:spPr>
                </pic:pic>
              </a:graphicData>
            </a:graphic>
          </wp:inline>
        </w:drawing>
      </w:r>
    </w:p>
    <w:p w14:paraId="04946265" w14:textId="77777777" w:rsidR="00EB1BDD" w:rsidRDefault="008017A1">
      <w:pPr>
        <w:ind w:right="-13760"/>
        <w:rPr>
          <w:sz w:val="25"/>
          <w:szCs w:val="25"/>
        </w:rPr>
      </w:pPr>
      <w:r>
        <w:rPr>
          <w:noProof/>
          <w:sz w:val="25"/>
          <w:szCs w:val="25"/>
        </w:rPr>
        <w:drawing>
          <wp:inline distT="114300" distB="114300" distL="114300" distR="114300" wp14:anchorId="14484625" wp14:editId="33B7A2A7">
            <wp:extent cx="5943600" cy="1282700"/>
            <wp:effectExtent l="0" t="0" r="0" b="0"/>
            <wp:docPr id="2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5943600" cy="1282700"/>
                    </a:xfrm>
                    <a:prstGeom prst="rect">
                      <a:avLst/>
                    </a:prstGeom>
                    <a:ln/>
                  </pic:spPr>
                </pic:pic>
              </a:graphicData>
            </a:graphic>
          </wp:inline>
        </w:drawing>
      </w:r>
    </w:p>
    <w:p w14:paraId="4B8F76AF" w14:textId="77777777" w:rsidR="00EB1BDD" w:rsidRDefault="00EB1BDD">
      <w:pPr>
        <w:ind w:right="-13760"/>
        <w:rPr>
          <w:sz w:val="25"/>
          <w:szCs w:val="25"/>
        </w:rPr>
      </w:pPr>
    </w:p>
    <w:p w14:paraId="59C9080A" w14:textId="77777777" w:rsidR="00EB1BDD" w:rsidRDefault="008017A1">
      <w:pPr>
        <w:ind w:left="720" w:right="-13760" w:firstLine="720"/>
        <w:rPr>
          <w:b/>
          <w:sz w:val="25"/>
          <w:szCs w:val="25"/>
        </w:rPr>
      </w:pPr>
      <w:r>
        <w:rPr>
          <w:i/>
          <w:sz w:val="25"/>
          <w:szCs w:val="25"/>
          <w:u w:val="single"/>
        </w:rPr>
        <w:t>Income/purchasing power (Retail)</w:t>
      </w:r>
    </w:p>
    <w:p w14:paraId="10465A20" w14:textId="77777777" w:rsidR="00EB1BDD" w:rsidRDefault="008017A1">
      <w:pPr>
        <w:pBdr>
          <w:top w:val="nil"/>
          <w:left w:val="nil"/>
          <w:bottom w:val="nil"/>
          <w:right w:val="nil"/>
          <w:between w:val="nil"/>
        </w:pBdr>
        <w:ind w:right="-13760" w:firstLine="720"/>
      </w:pPr>
      <w:r>
        <w:t xml:space="preserve">In the Census Tract, the median earnings of population for the 16 years and over is </w:t>
      </w:r>
    </w:p>
    <w:p w14:paraId="75FC4614" w14:textId="77777777" w:rsidR="00EB1BDD" w:rsidRDefault="008017A1">
      <w:pPr>
        <w:pBdr>
          <w:top w:val="nil"/>
          <w:left w:val="nil"/>
          <w:bottom w:val="nil"/>
          <w:right w:val="nil"/>
          <w:between w:val="nil"/>
        </w:pBdr>
        <w:ind w:right="-13760"/>
      </w:pPr>
      <w:r>
        <w:t xml:space="preserve">$95433/year in 2017, with an increase of 27% for the past 5 years. On the other hands, the per </w:t>
      </w:r>
    </w:p>
    <w:p w14:paraId="6A195FE7" w14:textId="77777777" w:rsidR="00EB1BDD" w:rsidRDefault="008017A1">
      <w:pPr>
        <w:pBdr>
          <w:top w:val="nil"/>
          <w:left w:val="nil"/>
          <w:bottom w:val="nil"/>
          <w:right w:val="nil"/>
          <w:between w:val="nil"/>
        </w:pBdr>
        <w:ind w:right="-13760"/>
      </w:pPr>
      <w:r>
        <w:t xml:space="preserve">capita income in the census tracts is average at $45995 in 2017 while a growth of 22% during </w:t>
      </w:r>
    </w:p>
    <w:p w14:paraId="6A811DD2" w14:textId="77777777" w:rsidR="00EB1BDD" w:rsidRDefault="008017A1">
      <w:pPr>
        <w:pBdr>
          <w:top w:val="nil"/>
          <w:left w:val="nil"/>
          <w:bottom w:val="nil"/>
          <w:right w:val="nil"/>
          <w:between w:val="nil"/>
        </w:pBdr>
        <w:ind w:right="-13760"/>
      </w:pPr>
      <w:r>
        <w:t>past five year.</w:t>
      </w:r>
    </w:p>
    <w:p w14:paraId="7661F99F" w14:textId="77777777" w:rsidR="00EB1BDD" w:rsidRDefault="00EB1BDD">
      <w:pPr>
        <w:ind w:right="-13760"/>
        <w:rPr>
          <w:sz w:val="25"/>
          <w:szCs w:val="25"/>
        </w:rPr>
      </w:pPr>
    </w:p>
    <w:p w14:paraId="27B23E07" w14:textId="77777777" w:rsidR="00EB1BDD" w:rsidRDefault="008017A1">
      <w:pPr>
        <w:ind w:right="-13760"/>
        <w:rPr>
          <w:sz w:val="25"/>
          <w:szCs w:val="25"/>
        </w:rPr>
      </w:pPr>
      <w:r>
        <w:rPr>
          <w:noProof/>
          <w:sz w:val="25"/>
          <w:szCs w:val="25"/>
        </w:rPr>
        <w:drawing>
          <wp:inline distT="114300" distB="114300" distL="114300" distR="114300" wp14:anchorId="26E7B6C3" wp14:editId="225B255E">
            <wp:extent cx="5943600" cy="533400"/>
            <wp:effectExtent l="0" t="0" r="0" b="0"/>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5943600" cy="533400"/>
                    </a:xfrm>
                    <a:prstGeom prst="rect">
                      <a:avLst/>
                    </a:prstGeom>
                    <a:ln/>
                  </pic:spPr>
                </pic:pic>
              </a:graphicData>
            </a:graphic>
          </wp:inline>
        </w:drawing>
      </w:r>
    </w:p>
    <w:p w14:paraId="7C02505B" w14:textId="77777777" w:rsidR="00EB1BDD" w:rsidRDefault="008017A1">
      <w:pPr>
        <w:ind w:right="-13760"/>
        <w:rPr>
          <w:sz w:val="25"/>
          <w:szCs w:val="25"/>
        </w:rPr>
      </w:pPr>
      <w:r>
        <w:rPr>
          <w:noProof/>
          <w:sz w:val="25"/>
          <w:szCs w:val="25"/>
        </w:rPr>
        <w:drawing>
          <wp:inline distT="114300" distB="114300" distL="114300" distR="114300" wp14:anchorId="1DB5486A" wp14:editId="4EA7C600">
            <wp:extent cx="5943600" cy="520700"/>
            <wp:effectExtent l="0" t="0" r="0" b="0"/>
            <wp:docPr id="2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5943600" cy="520700"/>
                    </a:xfrm>
                    <a:prstGeom prst="rect">
                      <a:avLst/>
                    </a:prstGeom>
                    <a:ln/>
                  </pic:spPr>
                </pic:pic>
              </a:graphicData>
            </a:graphic>
          </wp:inline>
        </w:drawing>
      </w:r>
    </w:p>
    <w:p w14:paraId="7FD1ADA3" w14:textId="77777777" w:rsidR="00EB1BDD" w:rsidRDefault="00EB1BDD">
      <w:pPr>
        <w:ind w:right="-13760"/>
        <w:rPr>
          <w:b/>
          <w:sz w:val="32"/>
          <w:szCs w:val="32"/>
        </w:rPr>
      </w:pPr>
    </w:p>
    <w:p w14:paraId="29FF4CB6" w14:textId="77777777" w:rsidR="00EB1BDD" w:rsidRDefault="008017A1">
      <w:pPr>
        <w:ind w:right="-13760"/>
        <w:rPr>
          <w:sz w:val="25"/>
          <w:szCs w:val="25"/>
        </w:rPr>
      </w:pPr>
      <w:r>
        <w:rPr>
          <w:b/>
          <w:sz w:val="32"/>
          <w:szCs w:val="32"/>
        </w:rPr>
        <w:t>Location of development nodes/major retailers</w:t>
      </w:r>
    </w:p>
    <w:p w14:paraId="422EBDC1" w14:textId="77777777" w:rsidR="00EB1BDD" w:rsidRDefault="008017A1">
      <w:pPr>
        <w:numPr>
          <w:ilvl w:val="0"/>
          <w:numId w:val="2"/>
        </w:numPr>
        <w:ind w:right="-13760"/>
      </w:pPr>
      <w:r>
        <w:t xml:space="preserve">The site is 5 minutes driving away from a neighborhood mall, on the North </w:t>
      </w:r>
    </w:p>
    <w:p w14:paraId="16327493" w14:textId="77777777" w:rsidR="00EB1BDD" w:rsidRDefault="008017A1">
      <w:pPr>
        <w:ind w:left="720" w:right="-13760" w:firstLine="720"/>
      </w:pPr>
      <w:r>
        <w:t xml:space="preserve">side of the site, which has retail stores and restaurants, such as Safeway, </w:t>
      </w:r>
    </w:p>
    <w:p w14:paraId="28AEEE9D" w14:textId="77777777" w:rsidR="00EB1BDD" w:rsidRDefault="008017A1">
      <w:pPr>
        <w:ind w:left="720" w:right="-13760" w:firstLine="720"/>
      </w:pPr>
      <w:proofErr w:type="gramStart"/>
      <w:r>
        <w:t>McDonald's</w:t>
      </w:r>
      <w:proofErr w:type="gramEnd"/>
      <w:r>
        <w:t xml:space="preserve"> and Dollar Tree. On the South East of the site is the closest </w:t>
      </w:r>
    </w:p>
    <w:p w14:paraId="5A04D440" w14:textId="77777777" w:rsidR="00EB1BDD" w:rsidRDefault="008017A1">
      <w:pPr>
        <w:ind w:left="720" w:right="-13760" w:firstLine="720"/>
      </w:pPr>
      <w:r>
        <w:t xml:space="preserve">Inglewood High School. Overall, educational problem and daily needs </w:t>
      </w:r>
    </w:p>
    <w:p w14:paraId="064F8594" w14:textId="77777777" w:rsidR="00EB1BDD" w:rsidRDefault="008017A1">
      <w:pPr>
        <w:ind w:left="720" w:right="-13760" w:firstLine="720"/>
        <w:rPr>
          <w:sz w:val="25"/>
          <w:szCs w:val="25"/>
        </w:rPr>
      </w:pPr>
      <w:r>
        <w:t>could be solved while living on site.</w:t>
      </w:r>
    </w:p>
    <w:p w14:paraId="33C42894" w14:textId="77777777" w:rsidR="00EB1BDD" w:rsidRDefault="008017A1">
      <w:pPr>
        <w:ind w:right="-13766"/>
        <w:rPr>
          <w:rFonts w:ascii="Cambria" w:eastAsia="Cambria" w:hAnsi="Cambria" w:cs="Cambria"/>
          <w:b/>
          <w:i/>
          <w:sz w:val="32"/>
          <w:szCs w:val="32"/>
          <w:u w:val="single"/>
        </w:rPr>
      </w:pPr>
      <w:r>
        <w:rPr>
          <w:rFonts w:ascii="Cambria" w:eastAsia="Cambria" w:hAnsi="Cambria" w:cs="Cambria"/>
          <w:b/>
          <w:i/>
          <w:sz w:val="32"/>
          <w:szCs w:val="32"/>
          <w:u w:val="single"/>
        </w:rPr>
        <w:t>Identify the local market support</w:t>
      </w:r>
    </w:p>
    <w:p w14:paraId="075576E2" w14:textId="77777777" w:rsidR="00EB1BDD" w:rsidRDefault="00EB1BDD"/>
    <w:p w14:paraId="74BE69A8" w14:textId="6F2EE8BB" w:rsidR="00EB1BDD" w:rsidRDefault="008017A1">
      <w:pPr>
        <w:rPr>
          <w:b/>
          <w:sz w:val="32"/>
          <w:szCs w:val="32"/>
        </w:rPr>
      </w:pPr>
      <w:r>
        <w:rPr>
          <w:b/>
          <w:sz w:val="32"/>
          <w:szCs w:val="32"/>
        </w:rPr>
        <w:lastRenderedPageBreak/>
        <w:t>Type of User/Customer</w:t>
      </w:r>
    </w:p>
    <w:p w14:paraId="47E83CA7" w14:textId="77777777" w:rsidR="00EB1BDD" w:rsidRDefault="008017A1">
      <w:pPr>
        <w:ind w:firstLine="720"/>
      </w:pPr>
      <w:r>
        <w:t>Based on the Zoning Code of Kenmore, this parcel is regarded as residential 6. Given that our neighbors are mostly single-family housing unit, we are planning to provide a similar property to the local market to avoid any potential the opposition from the local community.</w:t>
      </w:r>
    </w:p>
    <w:p w14:paraId="336BBECA" w14:textId="77777777" w:rsidR="00EB1BDD" w:rsidRDefault="008017A1">
      <w:r>
        <w:tab/>
        <w:t>Most of properties within the Zip Code 98028 are residential units along with few schools, churches, and retail stores. Based on the market research below, the income level for the community isn’t particularly high, which also indicate that this project should be focus on moderate housing unit instead luxury home. Also, given the highly dependency of car overall, we will also assure that the property will have more than 2 parking lots.</w:t>
      </w:r>
    </w:p>
    <w:p w14:paraId="47832958" w14:textId="77777777" w:rsidR="00EB1BDD" w:rsidRDefault="008017A1">
      <w:pPr>
        <w:rPr>
          <w:sz w:val="25"/>
          <w:szCs w:val="25"/>
        </w:rPr>
      </w:pPr>
      <w:r>
        <w:rPr>
          <w:noProof/>
        </w:rPr>
        <w:drawing>
          <wp:inline distT="0" distB="0" distL="0" distR="0" wp14:anchorId="1563D062" wp14:editId="313E0609">
            <wp:extent cx="5727700" cy="4889500"/>
            <wp:effectExtent l="0" t="0" r="0" b="0"/>
            <wp:docPr id="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5727700" cy="4889500"/>
                    </a:xfrm>
                    <a:prstGeom prst="rect">
                      <a:avLst/>
                    </a:prstGeom>
                    <a:ln/>
                  </pic:spPr>
                </pic:pic>
              </a:graphicData>
            </a:graphic>
          </wp:inline>
        </w:drawing>
      </w:r>
      <w:r>
        <w:br w:type="page"/>
      </w:r>
    </w:p>
    <w:p w14:paraId="0DD5E645" w14:textId="111F72C0" w:rsidR="00EB1BDD" w:rsidRDefault="008017A1">
      <w:pPr>
        <w:rPr>
          <w:b/>
          <w:sz w:val="32"/>
          <w:szCs w:val="32"/>
        </w:rPr>
      </w:pPr>
      <w:r>
        <w:rPr>
          <w:b/>
          <w:sz w:val="32"/>
          <w:szCs w:val="32"/>
        </w:rPr>
        <w:lastRenderedPageBreak/>
        <w:t>Income/Ability to Purchase/Rent Within Market</w:t>
      </w:r>
    </w:p>
    <w:p w14:paraId="61EF9B9D" w14:textId="77777777" w:rsidR="00EB1BDD" w:rsidRDefault="00EB1BDD">
      <w:pPr>
        <w:rPr>
          <w:b/>
          <w:sz w:val="25"/>
          <w:szCs w:val="25"/>
        </w:rPr>
      </w:pPr>
    </w:p>
    <w:p w14:paraId="4031B8DE" w14:textId="77777777" w:rsidR="00EB1BDD" w:rsidRDefault="008017A1">
      <w:pPr>
        <w:jc w:val="center"/>
        <w:rPr>
          <w:i/>
          <w:sz w:val="25"/>
          <w:szCs w:val="25"/>
          <w:u w:val="single"/>
        </w:rPr>
      </w:pPr>
      <w:r>
        <w:rPr>
          <w:i/>
          <w:sz w:val="25"/>
          <w:szCs w:val="25"/>
          <w:u w:val="single"/>
        </w:rPr>
        <w:t>Household Income</w:t>
      </w:r>
    </w:p>
    <w:p w14:paraId="4E8DE687" w14:textId="77777777" w:rsidR="00EB1BDD" w:rsidRDefault="008017A1">
      <w:pPr>
        <w:ind w:firstLine="720"/>
      </w:pPr>
      <w:r>
        <w:t xml:space="preserve">According to </w:t>
      </w:r>
      <w:proofErr w:type="spellStart"/>
      <w:r>
        <w:rPr>
          <w:i/>
        </w:rPr>
        <w:t>Incomebyzipcode</w:t>
      </w:r>
      <w:proofErr w:type="spellEnd"/>
      <w:r>
        <w:t>, the average household income within the Kenmore City is similar to the King County, thus, we are not looking at a market that is affordable to luxury houses, while also not particularly poor. Thus, we should lean toward develop a moderate housing.</w:t>
      </w:r>
    </w:p>
    <w:p w14:paraId="34D1A6A1" w14:textId="77777777" w:rsidR="00EB1BDD" w:rsidRDefault="008017A1">
      <w:pPr>
        <w:rPr>
          <w:sz w:val="25"/>
          <w:szCs w:val="25"/>
        </w:rPr>
      </w:pPr>
      <w:r>
        <w:rPr>
          <w:noProof/>
          <w:sz w:val="25"/>
          <w:szCs w:val="25"/>
        </w:rPr>
        <w:drawing>
          <wp:inline distT="0" distB="0" distL="0" distR="0" wp14:anchorId="337A5738" wp14:editId="7770D1E9">
            <wp:extent cx="5727700" cy="82105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27700" cy="821055"/>
                    </a:xfrm>
                    <a:prstGeom prst="rect">
                      <a:avLst/>
                    </a:prstGeom>
                    <a:ln/>
                  </pic:spPr>
                </pic:pic>
              </a:graphicData>
            </a:graphic>
          </wp:inline>
        </w:drawing>
      </w:r>
      <w:r>
        <w:rPr>
          <w:sz w:val="25"/>
          <w:szCs w:val="25"/>
        </w:rPr>
        <w:t xml:space="preserve"> </w:t>
      </w:r>
    </w:p>
    <w:p w14:paraId="69F2434E" w14:textId="77777777" w:rsidR="00EB1BDD" w:rsidRDefault="00EB1BDD">
      <w:pPr>
        <w:rPr>
          <w:sz w:val="25"/>
          <w:szCs w:val="25"/>
        </w:rPr>
      </w:pPr>
    </w:p>
    <w:p w14:paraId="0E0CF8DB" w14:textId="77777777" w:rsidR="00EB1BDD" w:rsidRDefault="008017A1">
      <w:r>
        <w:rPr>
          <w:sz w:val="25"/>
          <w:szCs w:val="25"/>
        </w:rPr>
        <w:tab/>
      </w:r>
      <w:r>
        <w:t xml:space="preserve">According to </w:t>
      </w:r>
      <w:r>
        <w:rPr>
          <w:i/>
        </w:rPr>
        <w:t>Census</w:t>
      </w:r>
      <w:r>
        <w:t>, within the census tracts that we chose, 60% of the households have a median income of more than $75,000; as 48% have a median income of more than $100,000.</w:t>
      </w:r>
    </w:p>
    <w:p w14:paraId="22B3A428" w14:textId="77777777" w:rsidR="00EB1BDD" w:rsidRDefault="00EB1BDD">
      <w:pPr>
        <w:rPr>
          <w:sz w:val="25"/>
          <w:szCs w:val="25"/>
        </w:rPr>
      </w:pPr>
    </w:p>
    <w:p w14:paraId="60AD47A7" w14:textId="77777777" w:rsidR="00EB1BDD" w:rsidRDefault="008017A1">
      <w:pPr>
        <w:rPr>
          <w:sz w:val="25"/>
          <w:szCs w:val="25"/>
        </w:rPr>
      </w:pPr>
      <w:r>
        <w:rPr>
          <w:sz w:val="25"/>
          <w:szCs w:val="25"/>
        </w:rPr>
        <w:t xml:space="preserve"> </w:t>
      </w:r>
      <w:r>
        <w:rPr>
          <w:noProof/>
          <w:sz w:val="25"/>
          <w:szCs w:val="25"/>
        </w:rPr>
        <w:drawing>
          <wp:inline distT="0" distB="0" distL="0" distR="0" wp14:anchorId="3E31DE4B" wp14:editId="1A29A676">
            <wp:extent cx="2603045" cy="2752861"/>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603045" cy="2752861"/>
                    </a:xfrm>
                    <a:prstGeom prst="rect">
                      <a:avLst/>
                    </a:prstGeom>
                    <a:ln/>
                  </pic:spPr>
                </pic:pic>
              </a:graphicData>
            </a:graphic>
          </wp:inline>
        </w:drawing>
      </w:r>
    </w:p>
    <w:p w14:paraId="72A2C98D" w14:textId="77777777" w:rsidR="00EB1BDD" w:rsidRDefault="00EB1BDD">
      <w:pPr>
        <w:jc w:val="center"/>
        <w:rPr>
          <w:i/>
          <w:sz w:val="25"/>
          <w:szCs w:val="25"/>
        </w:rPr>
      </w:pPr>
    </w:p>
    <w:p w14:paraId="6A1B1809" w14:textId="77777777" w:rsidR="00EB1BDD" w:rsidRDefault="00EB1BDD">
      <w:pPr>
        <w:rPr>
          <w:i/>
          <w:sz w:val="25"/>
          <w:szCs w:val="25"/>
        </w:rPr>
      </w:pPr>
    </w:p>
    <w:p w14:paraId="2C760E2D" w14:textId="77777777" w:rsidR="00EB1BDD" w:rsidRDefault="00EB1BDD">
      <w:pPr>
        <w:rPr>
          <w:sz w:val="25"/>
          <w:szCs w:val="25"/>
        </w:rPr>
      </w:pPr>
    </w:p>
    <w:p w14:paraId="480AA652" w14:textId="77777777" w:rsidR="00EB1BDD" w:rsidRDefault="008017A1">
      <w:pPr>
        <w:rPr>
          <w:sz w:val="25"/>
          <w:szCs w:val="25"/>
        </w:rPr>
      </w:pPr>
      <w:r>
        <w:br w:type="page"/>
      </w:r>
    </w:p>
    <w:p w14:paraId="5B9B66B0" w14:textId="5705849B" w:rsidR="00EB1BDD" w:rsidRDefault="008017A1">
      <w:pPr>
        <w:rPr>
          <w:sz w:val="32"/>
          <w:szCs w:val="32"/>
        </w:rPr>
      </w:pPr>
      <w:r>
        <w:rPr>
          <w:b/>
          <w:sz w:val="32"/>
          <w:szCs w:val="32"/>
        </w:rPr>
        <w:lastRenderedPageBreak/>
        <w:t>Existing Competitive Projects</w:t>
      </w:r>
      <w:r>
        <w:rPr>
          <w:sz w:val="32"/>
          <w:szCs w:val="32"/>
        </w:rPr>
        <w:t xml:space="preserve"> </w:t>
      </w:r>
    </w:p>
    <w:p w14:paraId="73BF520A" w14:textId="77777777" w:rsidR="00EB1BDD" w:rsidRDefault="00EB1BDD">
      <w:pPr>
        <w:rPr>
          <w:sz w:val="25"/>
          <w:szCs w:val="25"/>
        </w:rPr>
      </w:pPr>
    </w:p>
    <w:p w14:paraId="0DBB3D40" w14:textId="77777777" w:rsidR="00EB1BDD" w:rsidRDefault="008017A1">
      <w:pPr>
        <w:jc w:val="center"/>
        <w:rPr>
          <w:i/>
          <w:sz w:val="25"/>
          <w:szCs w:val="25"/>
          <w:u w:val="single"/>
        </w:rPr>
      </w:pPr>
      <w:r>
        <w:rPr>
          <w:i/>
          <w:sz w:val="25"/>
          <w:szCs w:val="25"/>
          <w:u w:val="single"/>
        </w:rPr>
        <w:t>Sales</w:t>
      </w:r>
    </w:p>
    <w:p w14:paraId="63297E37" w14:textId="77777777" w:rsidR="00EB1BDD" w:rsidRDefault="008017A1">
      <w:pPr>
        <w:rPr>
          <w:sz w:val="23"/>
          <w:szCs w:val="23"/>
        </w:rPr>
      </w:pPr>
      <w:r>
        <w:tab/>
      </w:r>
      <w:r>
        <w:rPr>
          <w:sz w:val="23"/>
          <w:szCs w:val="23"/>
        </w:rPr>
        <w:t xml:space="preserve">According to </w:t>
      </w:r>
      <w:r>
        <w:rPr>
          <w:i/>
          <w:sz w:val="23"/>
          <w:szCs w:val="23"/>
        </w:rPr>
        <w:t>Trulia</w:t>
      </w:r>
      <w:r>
        <w:rPr>
          <w:sz w:val="23"/>
          <w:szCs w:val="23"/>
        </w:rPr>
        <w:t>, the median sales price in Kenmore City has been trending up since 2014, as of January 2019, the median sales price is around $628,750. Also, the number of sales in Kenmore City has been lingering from 50~150 since 2014. However, since the third quarter of 2018, the number of sales has been trending downward.</w:t>
      </w:r>
    </w:p>
    <w:p w14:paraId="49DBE623" w14:textId="77777777" w:rsidR="00EB1BDD" w:rsidRDefault="008017A1">
      <w:pPr>
        <w:rPr>
          <w:sz w:val="25"/>
          <w:szCs w:val="25"/>
        </w:rPr>
      </w:pPr>
      <w:r>
        <w:rPr>
          <w:noProof/>
          <w:sz w:val="25"/>
          <w:szCs w:val="25"/>
        </w:rPr>
        <w:drawing>
          <wp:inline distT="0" distB="0" distL="0" distR="0" wp14:anchorId="4AE3ADB8" wp14:editId="1B8C562B">
            <wp:extent cx="4221175" cy="1938200"/>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4221175" cy="1938200"/>
                    </a:xfrm>
                    <a:prstGeom prst="rect">
                      <a:avLst/>
                    </a:prstGeom>
                    <a:ln/>
                  </pic:spPr>
                </pic:pic>
              </a:graphicData>
            </a:graphic>
          </wp:inline>
        </w:drawing>
      </w:r>
    </w:p>
    <w:p w14:paraId="1418A49C" w14:textId="77777777" w:rsidR="00EB1BDD" w:rsidRDefault="008017A1">
      <w:pPr>
        <w:rPr>
          <w:sz w:val="25"/>
          <w:szCs w:val="25"/>
        </w:rPr>
      </w:pPr>
      <w:r>
        <w:rPr>
          <w:noProof/>
          <w:sz w:val="25"/>
          <w:szCs w:val="25"/>
        </w:rPr>
        <w:drawing>
          <wp:inline distT="0" distB="0" distL="0" distR="0" wp14:anchorId="71D27FCB" wp14:editId="337D7639">
            <wp:extent cx="4112359" cy="1891684"/>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4112359" cy="1891684"/>
                    </a:xfrm>
                    <a:prstGeom prst="rect">
                      <a:avLst/>
                    </a:prstGeom>
                    <a:ln/>
                  </pic:spPr>
                </pic:pic>
              </a:graphicData>
            </a:graphic>
          </wp:inline>
        </w:drawing>
      </w:r>
    </w:p>
    <w:p w14:paraId="106FAAA0" w14:textId="77777777" w:rsidR="00EB1BDD" w:rsidRDefault="00EB1BDD">
      <w:pPr>
        <w:jc w:val="center"/>
        <w:rPr>
          <w:sz w:val="25"/>
          <w:szCs w:val="25"/>
        </w:rPr>
      </w:pPr>
    </w:p>
    <w:p w14:paraId="26F16736" w14:textId="77777777" w:rsidR="00EB1BDD" w:rsidRDefault="00EB1BDD">
      <w:pPr>
        <w:jc w:val="center"/>
        <w:rPr>
          <w:i/>
          <w:sz w:val="25"/>
          <w:szCs w:val="25"/>
        </w:rPr>
      </w:pPr>
    </w:p>
    <w:p w14:paraId="1611471B" w14:textId="77777777" w:rsidR="00EB1BDD" w:rsidRDefault="008017A1">
      <w:pPr>
        <w:jc w:val="center"/>
        <w:rPr>
          <w:i/>
          <w:sz w:val="25"/>
          <w:szCs w:val="25"/>
          <w:u w:val="single"/>
        </w:rPr>
      </w:pPr>
      <w:r>
        <w:rPr>
          <w:i/>
          <w:sz w:val="25"/>
          <w:szCs w:val="25"/>
          <w:u w:val="single"/>
        </w:rPr>
        <w:t>Price Per Square Feet</w:t>
      </w:r>
    </w:p>
    <w:p w14:paraId="2FE18B09" w14:textId="77777777" w:rsidR="00EB1BDD" w:rsidRDefault="008017A1">
      <w:pPr>
        <w:rPr>
          <w:sz w:val="23"/>
          <w:szCs w:val="23"/>
        </w:rPr>
      </w:pPr>
      <w:r>
        <w:rPr>
          <w:sz w:val="25"/>
          <w:szCs w:val="25"/>
        </w:rPr>
        <w:tab/>
      </w:r>
      <w:r>
        <w:rPr>
          <w:sz w:val="23"/>
          <w:szCs w:val="23"/>
        </w:rPr>
        <w:t xml:space="preserve">According to </w:t>
      </w:r>
      <w:r>
        <w:rPr>
          <w:i/>
          <w:sz w:val="23"/>
          <w:szCs w:val="23"/>
        </w:rPr>
        <w:t>Zillow Research, the price/</w:t>
      </w:r>
      <w:proofErr w:type="spellStart"/>
      <w:r>
        <w:rPr>
          <w:i/>
          <w:sz w:val="23"/>
          <w:szCs w:val="23"/>
        </w:rPr>
        <w:t>s.f.</w:t>
      </w:r>
      <w:proofErr w:type="spellEnd"/>
      <w:r>
        <w:rPr>
          <w:sz w:val="23"/>
          <w:szCs w:val="23"/>
        </w:rPr>
        <w:t xml:space="preserve"> in Kenmore city has been trending upward since 2013 and currently located at $325/</w:t>
      </w:r>
      <w:proofErr w:type="spellStart"/>
      <w:r>
        <w:rPr>
          <w:sz w:val="23"/>
          <w:szCs w:val="23"/>
        </w:rPr>
        <w:t>s.f.</w:t>
      </w:r>
      <w:proofErr w:type="spellEnd"/>
      <w:r>
        <w:rPr>
          <w:sz w:val="23"/>
          <w:szCs w:val="23"/>
        </w:rPr>
        <w:t xml:space="preserve"> from $174/</w:t>
      </w:r>
      <w:proofErr w:type="spellStart"/>
      <w:r>
        <w:rPr>
          <w:sz w:val="23"/>
          <w:szCs w:val="23"/>
        </w:rPr>
        <w:t>s.f.</w:t>
      </w:r>
      <w:proofErr w:type="spellEnd"/>
      <w:r>
        <w:rPr>
          <w:sz w:val="23"/>
          <w:szCs w:val="23"/>
        </w:rPr>
        <w:t xml:space="preserve"> in Jan 2013.</w:t>
      </w:r>
    </w:p>
    <w:p w14:paraId="7A9FA2E5" w14:textId="77777777" w:rsidR="00EB1BDD" w:rsidRDefault="008017A1">
      <w:pPr>
        <w:rPr>
          <w:i/>
          <w:sz w:val="25"/>
          <w:szCs w:val="25"/>
        </w:rPr>
      </w:pPr>
      <w:r>
        <w:rPr>
          <w:i/>
          <w:noProof/>
          <w:sz w:val="25"/>
          <w:szCs w:val="25"/>
        </w:rPr>
        <w:lastRenderedPageBreak/>
        <w:drawing>
          <wp:inline distT="0" distB="0" distL="0" distR="0" wp14:anchorId="6F2D3CB3" wp14:editId="357E909F">
            <wp:extent cx="4033838" cy="241181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033838" cy="2411810"/>
                    </a:xfrm>
                    <a:prstGeom prst="rect">
                      <a:avLst/>
                    </a:prstGeom>
                    <a:ln/>
                  </pic:spPr>
                </pic:pic>
              </a:graphicData>
            </a:graphic>
          </wp:inline>
        </w:drawing>
      </w:r>
    </w:p>
    <w:p w14:paraId="59392818" w14:textId="77777777" w:rsidR="00EB1BDD" w:rsidRDefault="00EB1BDD">
      <w:pPr>
        <w:jc w:val="center"/>
        <w:rPr>
          <w:i/>
          <w:sz w:val="25"/>
          <w:szCs w:val="25"/>
        </w:rPr>
      </w:pPr>
    </w:p>
    <w:p w14:paraId="00C41922" w14:textId="77777777" w:rsidR="00EB1BDD" w:rsidRDefault="00EB1BDD">
      <w:pPr>
        <w:jc w:val="center"/>
        <w:rPr>
          <w:i/>
          <w:sz w:val="25"/>
          <w:szCs w:val="25"/>
        </w:rPr>
      </w:pPr>
    </w:p>
    <w:p w14:paraId="7E04DCDA" w14:textId="77777777" w:rsidR="00EB1BDD" w:rsidRDefault="008017A1">
      <w:pPr>
        <w:jc w:val="center"/>
        <w:rPr>
          <w:i/>
          <w:sz w:val="25"/>
          <w:szCs w:val="25"/>
          <w:u w:val="single"/>
        </w:rPr>
      </w:pPr>
      <w:r>
        <w:rPr>
          <w:i/>
          <w:sz w:val="25"/>
          <w:szCs w:val="25"/>
          <w:u w:val="single"/>
        </w:rPr>
        <w:t>Rent</w:t>
      </w:r>
    </w:p>
    <w:p w14:paraId="1B999D8C" w14:textId="77777777" w:rsidR="00EB1BDD" w:rsidRDefault="008017A1">
      <w:pPr>
        <w:numPr>
          <w:ilvl w:val="0"/>
          <w:numId w:val="3"/>
        </w:numPr>
        <w:rPr>
          <w:sz w:val="25"/>
          <w:szCs w:val="25"/>
        </w:rPr>
      </w:pPr>
      <w:r>
        <w:rPr>
          <w:i/>
          <w:sz w:val="25"/>
          <w:szCs w:val="25"/>
        </w:rPr>
        <w:t xml:space="preserve">Median Rent &amp; Number of Rentals in Kenmore </w:t>
      </w:r>
      <w:r>
        <w:rPr>
          <w:sz w:val="25"/>
          <w:szCs w:val="25"/>
        </w:rPr>
        <w:t>(From Trulia)</w:t>
      </w:r>
    </w:p>
    <w:p w14:paraId="6F3DB6BC" w14:textId="77777777" w:rsidR="00EB1BDD" w:rsidRDefault="008017A1">
      <w:pPr>
        <w:ind w:firstLine="360"/>
        <w:rPr>
          <w:sz w:val="23"/>
          <w:szCs w:val="23"/>
        </w:rPr>
      </w:pPr>
      <w:r>
        <w:rPr>
          <w:sz w:val="23"/>
          <w:szCs w:val="23"/>
        </w:rPr>
        <w:t>According to Trulia, the median rent in Kenmore was top at $2,800 per month in Jun. &amp; Jul. 2018 while low at $2,400 per month currently. Furthermore, the number of rentals was trending up since March 2018, and suddenly dropping since Nov 2018, with 31 per month currently.</w:t>
      </w:r>
    </w:p>
    <w:p w14:paraId="2D9830F3" w14:textId="77777777" w:rsidR="00EB1BDD" w:rsidRDefault="008017A1">
      <w:pPr>
        <w:rPr>
          <w:sz w:val="25"/>
          <w:szCs w:val="25"/>
        </w:rPr>
      </w:pPr>
      <w:r>
        <w:rPr>
          <w:noProof/>
          <w:sz w:val="25"/>
          <w:szCs w:val="25"/>
        </w:rPr>
        <w:drawing>
          <wp:inline distT="0" distB="0" distL="0" distR="0" wp14:anchorId="537EE553" wp14:editId="46307885">
            <wp:extent cx="4037724" cy="1827272"/>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4037724" cy="1827272"/>
                    </a:xfrm>
                    <a:prstGeom prst="rect">
                      <a:avLst/>
                    </a:prstGeom>
                    <a:ln/>
                  </pic:spPr>
                </pic:pic>
              </a:graphicData>
            </a:graphic>
          </wp:inline>
        </w:drawing>
      </w:r>
      <w:r>
        <w:rPr>
          <w:noProof/>
          <w:sz w:val="25"/>
          <w:szCs w:val="25"/>
        </w:rPr>
        <w:drawing>
          <wp:inline distT="0" distB="0" distL="0" distR="0" wp14:anchorId="4C8C5836" wp14:editId="3F20FDE9">
            <wp:extent cx="3928740" cy="1747897"/>
            <wp:effectExtent l="0" t="0" r="0" b="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3928740" cy="1747897"/>
                    </a:xfrm>
                    <a:prstGeom prst="rect">
                      <a:avLst/>
                    </a:prstGeom>
                    <a:ln/>
                  </pic:spPr>
                </pic:pic>
              </a:graphicData>
            </a:graphic>
          </wp:inline>
        </w:drawing>
      </w:r>
    </w:p>
    <w:p w14:paraId="429AAE6C" w14:textId="77777777" w:rsidR="00EB1BDD" w:rsidRDefault="00EB1BDD">
      <w:pPr>
        <w:jc w:val="center"/>
        <w:rPr>
          <w:sz w:val="25"/>
          <w:szCs w:val="25"/>
        </w:rPr>
      </w:pPr>
    </w:p>
    <w:p w14:paraId="43223E66" w14:textId="77777777" w:rsidR="00EB1BDD" w:rsidRDefault="008017A1">
      <w:pPr>
        <w:numPr>
          <w:ilvl w:val="0"/>
          <w:numId w:val="3"/>
        </w:numPr>
        <w:rPr>
          <w:sz w:val="25"/>
          <w:szCs w:val="25"/>
        </w:rPr>
      </w:pPr>
      <w:r>
        <w:rPr>
          <w:i/>
          <w:sz w:val="25"/>
          <w:szCs w:val="25"/>
        </w:rPr>
        <w:t>Market Rent Per SF</w:t>
      </w:r>
    </w:p>
    <w:p w14:paraId="13C0AEBE" w14:textId="77777777" w:rsidR="00EB1BDD" w:rsidRDefault="008017A1">
      <w:pPr>
        <w:ind w:left="360" w:firstLine="360"/>
        <w:rPr>
          <w:sz w:val="23"/>
          <w:szCs w:val="23"/>
        </w:rPr>
      </w:pPr>
      <w:r>
        <w:rPr>
          <w:sz w:val="23"/>
          <w:szCs w:val="23"/>
        </w:rPr>
        <w:lastRenderedPageBreak/>
        <w:t xml:space="preserve">Interestingly, according to </w:t>
      </w:r>
      <w:r>
        <w:rPr>
          <w:i/>
          <w:sz w:val="23"/>
          <w:szCs w:val="23"/>
        </w:rPr>
        <w:t>Costar</w:t>
      </w:r>
      <w:r>
        <w:rPr>
          <w:sz w:val="23"/>
          <w:szCs w:val="23"/>
        </w:rPr>
        <w:t>, we get a different picture where the market rent per sq. ft. is still increasing recently. The difference in two data might be explained by the increase in lower square feet unit, such as apartment, in Kenmore City.</w:t>
      </w:r>
    </w:p>
    <w:p w14:paraId="61FC60C6" w14:textId="77777777" w:rsidR="00EB1BDD" w:rsidRDefault="008017A1">
      <w:pPr>
        <w:ind w:left="360"/>
        <w:rPr>
          <w:sz w:val="25"/>
          <w:szCs w:val="25"/>
        </w:rPr>
      </w:pPr>
      <w:r>
        <w:rPr>
          <w:noProof/>
          <w:sz w:val="25"/>
          <w:szCs w:val="25"/>
        </w:rPr>
        <w:drawing>
          <wp:inline distT="0" distB="0" distL="0" distR="0" wp14:anchorId="6FB9BBDE" wp14:editId="436926E3">
            <wp:extent cx="3894386" cy="2316339"/>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3894386" cy="2316339"/>
                    </a:xfrm>
                    <a:prstGeom prst="rect">
                      <a:avLst/>
                    </a:prstGeom>
                    <a:ln/>
                  </pic:spPr>
                </pic:pic>
              </a:graphicData>
            </a:graphic>
          </wp:inline>
        </w:drawing>
      </w:r>
    </w:p>
    <w:p w14:paraId="2A197D26" w14:textId="77777777" w:rsidR="00EB1BDD" w:rsidRDefault="00EB1BDD">
      <w:pPr>
        <w:ind w:left="360"/>
        <w:rPr>
          <w:sz w:val="25"/>
          <w:szCs w:val="25"/>
        </w:rPr>
      </w:pPr>
    </w:p>
    <w:p w14:paraId="2EE2DFE4" w14:textId="77777777" w:rsidR="00EB1BDD" w:rsidRDefault="008017A1">
      <w:pPr>
        <w:numPr>
          <w:ilvl w:val="0"/>
          <w:numId w:val="3"/>
        </w:numPr>
        <w:rPr>
          <w:sz w:val="25"/>
          <w:szCs w:val="25"/>
        </w:rPr>
      </w:pPr>
      <w:r>
        <w:rPr>
          <w:i/>
          <w:sz w:val="25"/>
          <w:szCs w:val="25"/>
        </w:rPr>
        <w:t>Gross Rent</w:t>
      </w:r>
    </w:p>
    <w:p w14:paraId="50B3F370" w14:textId="77777777" w:rsidR="00EB1BDD" w:rsidRDefault="008017A1">
      <w:pPr>
        <w:ind w:left="360" w:firstLine="360"/>
        <w:rPr>
          <w:sz w:val="23"/>
          <w:szCs w:val="23"/>
        </w:rPr>
      </w:pPr>
      <w:r>
        <w:rPr>
          <w:sz w:val="23"/>
          <w:szCs w:val="23"/>
        </w:rPr>
        <w:t xml:space="preserve">According to </w:t>
      </w:r>
      <w:r>
        <w:rPr>
          <w:i/>
          <w:sz w:val="23"/>
          <w:szCs w:val="23"/>
        </w:rPr>
        <w:t>Census</w:t>
      </w:r>
      <w:r>
        <w:rPr>
          <w:sz w:val="23"/>
          <w:szCs w:val="23"/>
        </w:rPr>
        <w:t xml:space="preserve">, we are looking at the similar data that were presented at </w:t>
      </w:r>
      <w:r>
        <w:rPr>
          <w:i/>
          <w:sz w:val="23"/>
          <w:szCs w:val="23"/>
        </w:rPr>
        <w:t>Trulia</w:t>
      </w:r>
      <w:r>
        <w:rPr>
          <w:sz w:val="23"/>
          <w:szCs w:val="23"/>
        </w:rPr>
        <w:t>, where 66% of the renter are paying between $1000 ~ $2499, with a total of 5,084 household that are renting with cash rent in City of Kenmore.</w:t>
      </w:r>
    </w:p>
    <w:p w14:paraId="228EDFB7" w14:textId="77777777" w:rsidR="00EB1BDD" w:rsidRDefault="008017A1">
      <w:pPr>
        <w:rPr>
          <w:i/>
          <w:sz w:val="25"/>
          <w:szCs w:val="25"/>
        </w:rPr>
      </w:pPr>
      <w:r>
        <w:rPr>
          <w:i/>
          <w:noProof/>
          <w:sz w:val="25"/>
          <w:szCs w:val="25"/>
        </w:rPr>
        <w:lastRenderedPageBreak/>
        <w:drawing>
          <wp:inline distT="0" distB="0" distL="0" distR="0" wp14:anchorId="3405BA64" wp14:editId="5ACC65B1">
            <wp:extent cx="2280735" cy="4314391"/>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2280735" cy="4314391"/>
                    </a:xfrm>
                    <a:prstGeom prst="rect">
                      <a:avLst/>
                    </a:prstGeom>
                    <a:ln/>
                  </pic:spPr>
                </pic:pic>
              </a:graphicData>
            </a:graphic>
          </wp:inline>
        </w:drawing>
      </w:r>
    </w:p>
    <w:p w14:paraId="5E2922A8" w14:textId="77777777" w:rsidR="00EB1BDD" w:rsidRDefault="00EB1BDD">
      <w:pPr>
        <w:rPr>
          <w:i/>
          <w:sz w:val="25"/>
          <w:szCs w:val="25"/>
        </w:rPr>
      </w:pPr>
    </w:p>
    <w:p w14:paraId="6B236331" w14:textId="77777777" w:rsidR="00EB1BDD" w:rsidRDefault="008017A1">
      <w:pPr>
        <w:jc w:val="center"/>
        <w:rPr>
          <w:i/>
          <w:sz w:val="25"/>
          <w:szCs w:val="25"/>
          <w:u w:val="single"/>
        </w:rPr>
      </w:pPr>
      <w:r>
        <w:rPr>
          <w:i/>
          <w:sz w:val="25"/>
          <w:szCs w:val="25"/>
          <w:u w:val="single"/>
        </w:rPr>
        <w:t>Amenities/Specialty Characteristics</w:t>
      </w:r>
    </w:p>
    <w:p w14:paraId="47A138AD" w14:textId="77777777" w:rsidR="00EB1BDD" w:rsidRDefault="008017A1">
      <w:pPr>
        <w:rPr>
          <w:sz w:val="23"/>
          <w:szCs w:val="23"/>
        </w:rPr>
      </w:pPr>
      <w:r>
        <w:rPr>
          <w:sz w:val="25"/>
          <w:szCs w:val="25"/>
        </w:rPr>
        <w:tab/>
      </w:r>
      <w:r w:rsidR="008A62A0">
        <w:rPr>
          <w:color w:val="FF0000"/>
          <w:sz w:val="25"/>
          <w:szCs w:val="25"/>
        </w:rPr>
        <w:t>15</w:t>
      </w:r>
      <w:r>
        <w:rPr>
          <w:sz w:val="23"/>
          <w:szCs w:val="23"/>
        </w:rPr>
        <w:t xml:space="preserve">According to </w:t>
      </w:r>
      <w:r>
        <w:rPr>
          <w:i/>
          <w:sz w:val="23"/>
          <w:szCs w:val="23"/>
        </w:rPr>
        <w:t>Census</w:t>
      </w:r>
      <w:r>
        <w:rPr>
          <w:sz w:val="23"/>
          <w:szCs w:val="23"/>
        </w:rPr>
        <w:t>, there is total of 15,844 units within the census tracts that we chose, as 67% are owner-occupied and 33% are renter-occupied. While 64% of these properties are single family and 20% are 10+ unit apartment, 85% of the owner-occupied housing units are single family and 50% of the renter-occupied are 10+ unit apartments.</w:t>
      </w:r>
    </w:p>
    <w:p w14:paraId="0F0811A7" w14:textId="77777777" w:rsidR="00EB1BDD" w:rsidRDefault="008017A1">
      <w:pPr>
        <w:rPr>
          <w:sz w:val="23"/>
          <w:szCs w:val="23"/>
        </w:rPr>
      </w:pPr>
      <w:r>
        <w:rPr>
          <w:sz w:val="23"/>
          <w:szCs w:val="23"/>
        </w:rPr>
        <w:tab/>
        <w:t>Moreover, 72% of the total units were built in 1960~1980 while only 20% of the units were built after 2000. Among the total housing unit 87% are more than 2 bedrooms, as 99% of the owner-occupied units are more than 2 bedrooms. The renter-occupied units have 29% as 1-bedroom unit and 62% as more than 2-bedroom unit.</w:t>
      </w:r>
    </w:p>
    <w:p w14:paraId="4399EE1D" w14:textId="77777777" w:rsidR="00EB1BDD" w:rsidRDefault="008017A1">
      <w:pPr>
        <w:rPr>
          <w:sz w:val="23"/>
          <w:szCs w:val="23"/>
        </w:rPr>
      </w:pPr>
      <w:r>
        <w:rPr>
          <w:sz w:val="23"/>
          <w:szCs w:val="23"/>
        </w:rPr>
        <w:tab/>
        <w:t>One thing worth notice is that only 6% out of the total housing unit have no vehicle available, as 2% more owner-occupied and 15% for renter-occupied.</w:t>
      </w:r>
    </w:p>
    <w:p w14:paraId="03509C17" w14:textId="77777777" w:rsidR="00EB1BDD" w:rsidRDefault="008017A1">
      <w:pPr>
        <w:rPr>
          <w:sz w:val="25"/>
          <w:szCs w:val="25"/>
        </w:rPr>
      </w:pPr>
      <w:r>
        <w:rPr>
          <w:sz w:val="25"/>
          <w:szCs w:val="25"/>
        </w:rPr>
        <w:tab/>
      </w:r>
    </w:p>
    <w:p w14:paraId="4680D1C2" w14:textId="77777777" w:rsidR="00EB1BDD" w:rsidRDefault="008017A1">
      <w:pPr>
        <w:rPr>
          <w:sz w:val="25"/>
          <w:szCs w:val="25"/>
        </w:rPr>
      </w:pPr>
      <w:r>
        <w:rPr>
          <w:noProof/>
          <w:sz w:val="25"/>
          <w:szCs w:val="25"/>
        </w:rPr>
        <w:lastRenderedPageBreak/>
        <w:drawing>
          <wp:inline distT="0" distB="0" distL="0" distR="0" wp14:anchorId="6E662F8F" wp14:editId="613B6F3E">
            <wp:extent cx="3303968" cy="5876341"/>
            <wp:effectExtent l="0" t="0" r="0" b="0"/>
            <wp:docPr id="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3303968" cy="5876341"/>
                    </a:xfrm>
                    <a:prstGeom prst="rect">
                      <a:avLst/>
                    </a:prstGeom>
                    <a:ln/>
                  </pic:spPr>
                </pic:pic>
              </a:graphicData>
            </a:graphic>
          </wp:inline>
        </w:drawing>
      </w:r>
    </w:p>
    <w:p w14:paraId="56FBCA2E" w14:textId="77777777" w:rsidR="00EB1BDD" w:rsidRDefault="00EB1BDD">
      <w:pPr>
        <w:rPr>
          <w:sz w:val="25"/>
          <w:szCs w:val="25"/>
        </w:rPr>
      </w:pPr>
    </w:p>
    <w:p w14:paraId="14883B3A" w14:textId="77777777" w:rsidR="00EB1BDD" w:rsidRDefault="008A62A0">
      <w:pPr>
        <w:jc w:val="center"/>
        <w:rPr>
          <w:i/>
          <w:sz w:val="25"/>
          <w:szCs w:val="25"/>
          <w:u w:val="single"/>
        </w:rPr>
      </w:pPr>
      <w:r>
        <w:rPr>
          <w:i/>
          <w:color w:val="FF0000"/>
          <w:sz w:val="25"/>
          <w:szCs w:val="25"/>
          <w:u w:val="single"/>
        </w:rPr>
        <w:t>15</w:t>
      </w:r>
      <w:r w:rsidR="008017A1">
        <w:rPr>
          <w:i/>
          <w:sz w:val="25"/>
          <w:szCs w:val="25"/>
          <w:u w:val="single"/>
        </w:rPr>
        <w:t>Competitive Visibility and Transportation Strengths and Weaknesses</w:t>
      </w:r>
    </w:p>
    <w:p w14:paraId="4954E4DB" w14:textId="77777777" w:rsidR="00EB1BDD" w:rsidRDefault="008017A1">
      <w:pPr>
        <w:rPr>
          <w:sz w:val="23"/>
          <w:szCs w:val="23"/>
        </w:rPr>
      </w:pPr>
      <w:r>
        <w:rPr>
          <w:sz w:val="25"/>
          <w:szCs w:val="25"/>
        </w:rPr>
        <w:tab/>
      </w:r>
      <w:r>
        <w:rPr>
          <w:sz w:val="23"/>
          <w:szCs w:val="23"/>
        </w:rPr>
        <w:t>The neighborhood that our parcel located is a highly car-dependent bedroom community without much access to the public transportation including bus station. Furthermore, there isn’t any advantage in visibility for this parcel as well. However, these step-backs were shared with our potential competitors within the neighborhood as well. Given the weak visibility and transportation in the overall neighborhood, we don’t regard the lack of transportation and visibility as a weakness for our parcel.</w:t>
      </w:r>
    </w:p>
    <w:p w14:paraId="58DC75A8" w14:textId="77777777" w:rsidR="00EB1BDD" w:rsidRDefault="008017A1">
      <w:pPr>
        <w:rPr>
          <w:sz w:val="25"/>
          <w:szCs w:val="25"/>
        </w:rPr>
      </w:pPr>
      <w:r>
        <w:rPr>
          <w:sz w:val="25"/>
          <w:szCs w:val="25"/>
        </w:rPr>
        <w:lastRenderedPageBreak/>
        <w:t xml:space="preserve"> </w:t>
      </w:r>
      <w:r>
        <w:rPr>
          <w:noProof/>
          <w:sz w:val="25"/>
          <w:szCs w:val="25"/>
        </w:rPr>
        <w:drawing>
          <wp:inline distT="0" distB="0" distL="0" distR="0" wp14:anchorId="402785C0" wp14:editId="4742E3A0">
            <wp:extent cx="4152594" cy="393467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4152594" cy="3934674"/>
                    </a:xfrm>
                    <a:prstGeom prst="rect">
                      <a:avLst/>
                    </a:prstGeom>
                    <a:ln/>
                  </pic:spPr>
                </pic:pic>
              </a:graphicData>
            </a:graphic>
          </wp:inline>
        </w:drawing>
      </w:r>
    </w:p>
    <w:p w14:paraId="1C9A8E8B" w14:textId="77777777" w:rsidR="00EB1BDD" w:rsidRDefault="00EB1BDD">
      <w:pPr>
        <w:jc w:val="center"/>
        <w:rPr>
          <w:i/>
          <w:sz w:val="25"/>
          <w:szCs w:val="25"/>
        </w:rPr>
      </w:pPr>
    </w:p>
    <w:p w14:paraId="705B1C2C" w14:textId="77777777" w:rsidR="00EB1BDD" w:rsidRDefault="008017A1">
      <w:pPr>
        <w:jc w:val="center"/>
        <w:rPr>
          <w:i/>
          <w:sz w:val="25"/>
          <w:szCs w:val="25"/>
          <w:u w:val="single"/>
        </w:rPr>
      </w:pPr>
      <w:r>
        <w:rPr>
          <w:i/>
          <w:sz w:val="25"/>
          <w:szCs w:val="25"/>
          <w:u w:val="single"/>
        </w:rPr>
        <w:t>Absorption</w:t>
      </w:r>
    </w:p>
    <w:p w14:paraId="7254AE3B" w14:textId="77777777" w:rsidR="00EB1BDD" w:rsidRDefault="008017A1">
      <w:pPr>
        <w:rPr>
          <w:sz w:val="23"/>
          <w:szCs w:val="23"/>
        </w:rPr>
      </w:pPr>
      <w:r>
        <w:rPr>
          <w:sz w:val="25"/>
          <w:szCs w:val="25"/>
        </w:rPr>
        <w:tab/>
      </w:r>
      <w:r>
        <w:rPr>
          <w:sz w:val="23"/>
          <w:szCs w:val="23"/>
        </w:rPr>
        <w:t xml:space="preserve">According to </w:t>
      </w:r>
      <w:r>
        <w:rPr>
          <w:i/>
          <w:sz w:val="23"/>
          <w:szCs w:val="23"/>
        </w:rPr>
        <w:t>Zillow Research</w:t>
      </w:r>
      <w:r>
        <w:rPr>
          <w:sz w:val="23"/>
          <w:szCs w:val="23"/>
        </w:rPr>
        <w:t xml:space="preserve">, we use the “Sale to List” to capture the absorption rate in Kenmore. Based on the graph below, we are looking at an average of 0.95 sale to list ratio in Kenmore, which present as a healthy market where there is no excessive oversupply or undersupply. </w:t>
      </w:r>
    </w:p>
    <w:p w14:paraId="35ACFD27" w14:textId="77777777" w:rsidR="00EB1BDD" w:rsidRDefault="008017A1">
      <w:pPr>
        <w:rPr>
          <w:i/>
          <w:sz w:val="25"/>
          <w:szCs w:val="25"/>
        </w:rPr>
      </w:pPr>
      <w:r>
        <w:rPr>
          <w:noProof/>
          <w:sz w:val="25"/>
          <w:szCs w:val="25"/>
        </w:rPr>
        <w:drawing>
          <wp:inline distT="0" distB="0" distL="0" distR="0" wp14:anchorId="6C2358E6" wp14:editId="23165F5A">
            <wp:extent cx="3919538" cy="2588218"/>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3919538" cy="2588218"/>
                    </a:xfrm>
                    <a:prstGeom prst="rect">
                      <a:avLst/>
                    </a:prstGeom>
                    <a:ln/>
                  </pic:spPr>
                </pic:pic>
              </a:graphicData>
            </a:graphic>
          </wp:inline>
        </w:drawing>
      </w:r>
    </w:p>
    <w:p w14:paraId="4878946A" w14:textId="77777777" w:rsidR="00EB1BDD" w:rsidRDefault="00EB1BDD">
      <w:pPr>
        <w:rPr>
          <w:i/>
          <w:sz w:val="25"/>
          <w:szCs w:val="25"/>
        </w:rPr>
      </w:pPr>
    </w:p>
    <w:p w14:paraId="54E278C7" w14:textId="77777777" w:rsidR="00EB1BDD" w:rsidRDefault="008017A1">
      <w:pPr>
        <w:rPr>
          <w:sz w:val="23"/>
          <w:szCs w:val="23"/>
        </w:rPr>
      </w:pPr>
      <w:r>
        <w:rPr>
          <w:sz w:val="25"/>
          <w:szCs w:val="25"/>
        </w:rPr>
        <w:lastRenderedPageBreak/>
        <w:tab/>
      </w:r>
      <w:r>
        <w:rPr>
          <w:sz w:val="23"/>
          <w:szCs w:val="23"/>
        </w:rPr>
        <w:t xml:space="preserve">According to </w:t>
      </w:r>
      <w:r>
        <w:rPr>
          <w:i/>
          <w:sz w:val="23"/>
          <w:szCs w:val="23"/>
        </w:rPr>
        <w:t>Costar</w:t>
      </w:r>
      <w:r>
        <w:rPr>
          <w:sz w:val="23"/>
          <w:szCs w:val="23"/>
        </w:rPr>
        <w:t>, we will get a similar picture where the net absorption in Kenmore City has been lingering around 0 in general since 2009.</w:t>
      </w:r>
    </w:p>
    <w:p w14:paraId="0F405512" w14:textId="77777777" w:rsidR="00EB1BDD" w:rsidRDefault="008017A1">
      <w:pPr>
        <w:rPr>
          <w:sz w:val="25"/>
          <w:szCs w:val="25"/>
        </w:rPr>
      </w:pPr>
      <w:r>
        <w:rPr>
          <w:noProof/>
          <w:sz w:val="25"/>
          <w:szCs w:val="25"/>
        </w:rPr>
        <w:drawing>
          <wp:inline distT="0" distB="0" distL="0" distR="0" wp14:anchorId="2C54B379" wp14:editId="4875F024">
            <wp:extent cx="4471988" cy="2799394"/>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4471988" cy="2799394"/>
                    </a:xfrm>
                    <a:prstGeom prst="rect">
                      <a:avLst/>
                    </a:prstGeom>
                    <a:ln/>
                  </pic:spPr>
                </pic:pic>
              </a:graphicData>
            </a:graphic>
          </wp:inline>
        </w:drawing>
      </w:r>
    </w:p>
    <w:p w14:paraId="320C40CC" w14:textId="77777777" w:rsidR="00EB1BDD" w:rsidRDefault="00EB1BDD">
      <w:pPr>
        <w:rPr>
          <w:sz w:val="25"/>
          <w:szCs w:val="25"/>
        </w:rPr>
      </w:pPr>
    </w:p>
    <w:p w14:paraId="1B1EA0DD" w14:textId="77777777" w:rsidR="00EB1BDD" w:rsidRDefault="008017A1">
      <w:pPr>
        <w:rPr>
          <w:b/>
          <w:sz w:val="25"/>
          <w:szCs w:val="25"/>
        </w:rPr>
      </w:pPr>
      <w:r>
        <w:br w:type="page"/>
      </w:r>
    </w:p>
    <w:p w14:paraId="010DEE18" w14:textId="77777777" w:rsidR="00EB1BDD" w:rsidRDefault="008A62A0">
      <w:pPr>
        <w:rPr>
          <w:b/>
          <w:sz w:val="32"/>
          <w:szCs w:val="32"/>
        </w:rPr>
      </w:pPr>
      <w:r>
        <w:rPr>
          <w:b/>
          <w:color w:val="FF0000"/>
          <w:sz w:val="32"/>
          <w:szCs w:val="32"/>
        </w:rPr>
        <w:lastRenderedPageBreak/>
        <w:t>25</w:t>
      </w:r>
      <w:r w:rsidR="008017A1">
        <w:rPr>
          <w:b/>
          <w:sz w:val="32"/>
          <w:szCs w:val="32"/>
        </w:rPr>
        <w:t>Estimated Demand</w:t>
      </w:r>
    </w:p>
    <w:p w14:paraId="0E73BDDA" w14:textId="77777777" w:rsidR="00EB1BDD" w:rsidRDefault="00EB1BDD">
      <w:pPr>
        <w:rPr>
          <w:b/>
          <w:sz w:val="25"/>
          <w:szCs w:val="25"/>
        </w:rPr>
      </w:pPr>
    </w:p>
    <w:p w14:paraId="09471157" w14:textId="77777777" w:rsidR="00EB1BDD" w:rsidRDefault="008017A1">
      <w:pPr>
        <w:jc w:val="center"/>
        <w:rPr>
          <w:i/>
          <w:sz w:val="25"/>
          <w:szCs w:val="25"/>
          <w:u w:val="single"/>
        </w:rPr>
      </w:pPr>
      <w:r>
        <w:rPr>
          <w:i/>
          <w:sz w:val="25"/>
          <w:szCs w:val="25"/>
          <w:u w:val="single"/>
        </w:rPr>
        <w:t>Population Move-In</w:t>
      </w:r>
    </w:p>
    <w:p w14:paraId="0670FDFA" w14:textId="77777777" w:rsidR="00EB1BDD" w:rsidRDefault="008017A1">
      <w:pPr>
        <w:ind w:firstLine="720"/>
        <w:rPr>
          <w:sz w:val="23"/>
          <w:szCs w:val="23"/>
        </w:rPr>
      </w:pPr>
      <w:r>
        <w:rPr>
          <w:sz w:val="23"/>
          <w:szCs w:val="23"/>
        </w:rPr>
        <w:t xml:space="preserve">According to </w:t>
      </w:r>
      <w:r>
        <w:rPr>
          <w:i/>
          <w:sz w:val="23"/>
          <w:szCs w:val="23"/>
        </w:rPr>
        <w:t>Census</w:t>
      </w:r>
      <w:r>
        <w:rPr>
          <w:sz w:val="23"/>
          <w:szCs w:val="23"/>
        </w:rPr>
        <w:t>, there has been continuous population move-in since 1980, and within 2010~2014 there are 7,284 household move-in to owner-occupied unit. Given this data is published in 2017, we cannot get the very clear picture for current move-in within the Census Tracts that we chose.</w:t>
      </w:r>
    </w:p>
    <w:p w14:paraId="37CC26F7" w14:textId="77777777" w:rsidR="00EB1BDD" w:rsidRDefault="008017A1">
      <w:pPr>
        <w:rPr>
          <w:i/>
          <w:sz w:val="25"/>
          <w:szCs w:val="25"/>
        </w:rPr>
      </w:pPr>
      <w:r>
        <w:rPr>
          <w:i/>
          <w:noProof/>
          <w:sz w:val="25"/>
          <w:szCs w:val="25"/>
        </w:rPr>
        <w:drawing>
          <wp:inline distT="0" distB="0" distL="0" distR="0" wp14:anchorId="6F8A5DFB" wp14:editId="2A445C46">
            <wp:extent cx="2449504" cy="227454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2449504" cy="2274540"/>
                    </a:xfrm>
                    <a:prstGeom prst="rect">
                      <a:avLst/>
                    </a:prstGeom>
                    <a:ln/>
                  </pic:spPr>
                </pic:pic>
              </a:graphicData>
            </a:graphic>
          </wp:inline>
        </w:drawing>
      </w:r>
    </w:p>
    <w:p w14:paraId="2DFFAA56" w14:textId="77777777" w:rsidR="00EB1BDD" w:rsidRDefault="008017A1">
      <w:r>
        <w:tab/>
      </w:r>
    </w:p>
    <w:p w14:paraId="443663E2" w14:textId="77777777" w:rsidR="00EB1BDD" w:rsidRDefault="008017A1">
      <w:pPr>
        <w:rPr>
          <w:sz w:val="23"/>
          <w:szCs w:val="23"/>
        </w:rPr>
      </w:pPr>
      <w:r>
        <w:tab/>
      </w:r>
      <w:r>
        <w:rPr>
          <w:sz w:val="23"/>
          <w:szCs w:val="23"/>
        </w:rPr>
        <w:t xml:space="preserve">Based on the estimation from </w:t>
      </w:r>
      <w:r>
        <w:rPr>
          <w:i/>
          <w:sz w:val="23"/>
          <w:szCs w:val="23"/>
        </w:rPr>
        <w:t>Costar</w:t>
      </w:r>
      <w:r>
        <w:rPr>
          <w:sz w:val="23"/>
          <w:szCs w:val="23"/>
        </w:rPr>
        <w:t>, we are looking at 7.6% population growth rate in next 5 years and a very low (0.2%) 12-month net absorption % of inventory. Furthermore, the current median of housing on market is 4.2 months, moreover, Kenmore city currently has a median of housing unit vacant of 6.4 months. All of these are indicating a high demand for the housing.</w:t>
      </w:r>
    </w:p>
    <w:p w14:paraId="75A2A93E" w14:textId="77777777" w:rsidR="00EB1BDD" w:rsidRDefault="008017A1">
      <w:r>
        <w:rPr>
          <w:noProof/>
        </w:rPr>
        <w:drawing>
          <wp:inline distT="0" distB="0" distL="0" distR="0" wp14:anchorId="1B94A719" wp14:editId="30DB305E">
            <wp:extent cx="2986832" cy="2614613"/>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2986832" cy="2614613"/>
                    </a:xfrm>
                    <a:prstGeom prst="rect">
                      <a:avLst/>
                    </a:prstGeom>
                    <a:ln/>
                  </pic:spPr>
                </pic:pic>
              </a:graphicData>
            </a:graphic>
          </wp:inline>
        </w:drawing>
      </w:r>
    </w:p>
    <w:p w14:paraId="7C43AF0C" w14:textId="77777777" w:rsidR="00EB1BDD" w:rsidRDefault="008017A1">
      <w:r>
        <w:rPr>
          <w:noProof/>
        </w:rPr>
        <w:lastRenderedPageBreak/>
        <w:drawing>
          <wp:inline distT="0" distB="0" distL="0" distR="0" wp14:anchorId="63DB4829" wp14:editId="6E6C27B5">
            <wp:extent cx="4247089" cy="2518118"/>
            <wp:effectExtent l="0" t="0" r="0" b="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4247089" cy="2518118"/>
                    </a:xfrm>
                    <a:prstGeom prst="rect">
                      <a:avLst/>
                    </a:prstGeom>
                    <a:ln/>
                  </pic:spPr>
                </pic:pic>
              </a:graphicData>
            </a:graphic>
          </wp:inline>
        </w:drawing>
      </w:r>
      <w:r>
        <w:rPr>
          <w:noProof/>
        </w:rPr>
        <w:drawing>
          <wp:inline distT="0" distB="0" distL="0" distR="0" wp14:anchorId="463C2A4A" wp14:editId="0D2F2324">
            <wp:extent cx="4248314" cy="2477869"/>
            <wp:effectExtent l="0" t="0" r="0" b="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4248314" cy="2477869"/>
                    </a:xfrm>
                    <a:prstGeom prst="rect">
                      <a:avLst/>
                    </a:prstGeom>
                    <a:ln/>
                  </pic:spPr>
                </pic:pic>
              </a:graphicData>
            </a:graphic>
          </wp:inline>
        </w:drawing>
      </w:r>
    </w:p>
    <w:p w14:paraId="4B9F658E" w14:textId="77777777" w:rsidR="00EB1BDD" w:rsidRDefault="00EB1BDD"/>
    <w:p w14:paraId="3D07DEB7" w14:textId="77777777" w:rsidR="00EB1BDD" w:rsidRDefault="008017A1">
      <w:pPr>
        <w:rPr>
          <w:sz w:val="25"/>
          <w:szCs w:val="25"/>
        </w:rPr>
      </w:pPr>
      <w:r>
        <w:br w:type="page"/>
      </w:r>
    </w:p>
    <w:p w14:paraId="71F7DC0F" w14:textId="77777777" w:rsidR="00EB1BDD" w:rsidRDefault="008017A1">
      <w:pPr>
        <w:rPr>
          <w:b/>
          <w:sz w:val="25"/>
          <w:szCs w:val="25"/>
        </w:rPr>
      </w:pPr>
      <w:r>
        <w:rPr>
          <w:b/>
          <w:sz w:val="32"/>
          <w:szCs w:val="32"/>
        </w:rPr>
        <w:lastRenderedPageBreak/>
        <w:t>Estimated Competitive Supply</w:t>
      </w:r>
    </w:p>
    <w:p w14:paraId="4CC21386" w14:textId="77777777" w:rsidR="00EB1BDD" w:rsidRDefault="008017A1">
      <w:pPr>
        <w:jc w:val="center"/>
        <w:rPr>
          <w:i/>
          <w:u w:val="single"/>
        </w:rPr>
      </w:pPr>
      <w:r>
        <w:rPr>
          <w:i/>
          <w:u w:val="single"/>
        </w:rPr>
        <w:t>First – Housing Units</w:t>
      </w:r>
    </w:p>
    <w:p w14:paraId="4C73E10F" w14:textId="77777777" w:rsidR="00EB1BDD" w:rsidRDefault="008017A1">
      <w:pPr>
        <w:rPr>
          <w:sz w:val="23"/>
          <w:szCs w:val="23"/>
        </w:rPr>
      </w:pPr>
      <w:r>
        <w:tab/>
      </w:r>
      <w:r>
        <w:rPr>
          <w:sz w:val="23"/>
          <w:szCs w:val="23"/>
        </w:rPr>
        <w:t xml:space="preserve">According to </w:t>
      </w:r>
      <w:r>
        <w:rPr>
          <w:i/>
          <w:sz w:val="23"/>
          <w:szCs w:val="23"/>
        </w:rPr>
        <w:t>Census</w:t>
      </w:r>
      <w:r>
        <w:rPr>
          <w:sz w:val="23"/>
          <w:szCs w:val="23"/>
        </w:rPr>
        <w:t>, the housing units within the census tracts that we chose has been increasing overall with an average of 1.6% growth rate for the last four year. This indicated a potential of 257 new units per year.</w:t>
      </w:r>
    </w:p>
    <w:p w14:paraId="148DCD13" w14:textId="77777777" w:rsidR="00EB1BDD" w:rsidRDefault="008017A1">
      <w:pPr>
        <w:rPr>
          <w:i/>
        </w:rPr>
      </w:pPr>
      <w:r>
        <w:rPr>
          <w:i/>
          <w:noProof/>
        </w:rPr>
        <w:drawing>
          <wp:inline distT="0" distB="0" distL="0" distR="0" wp14:anchorId="6463CFC7" wp14:editId="6426EBDE">
            <wp:extent cx="2230472" cy="1169759"/>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2230472" cy="1169759"/>
                    </a:xfrm>
                    <a:prstGeom prst="rect">
                      <a:avLst/>
                    </a:prstGeom>
                    <a:ln/>
                  </pic:spPr>
                </pic:pic>
              </a:graphicData>
            </a:graphic>
          </wp:inline>
        </w:drawing>
      </w:r>
    </w:p>
    <w:p w14:paraId="1F011677" w14:textId="77777777" w:rsidR="00EB1BDD" w:rsidRDefault="008017A1">
      <w:pPr>
        <w:rPr>
          <w:i/>
        </w:rPr>
      </w:pPr>
      <w:r>
        <w:rPr>
          <w:i/>
          <w:noProof/>
        </w:rPr>
        <w:drawing>
          <wp:inline distT="0" distB="0" distL="0" distR="0" wp14:anchorId="4433970A" wp14:editId="0A3629FC">
            <wp:extent cx="3772273" cy="2142888"/>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3772273" cy="2142888"/>
                    </a:xfrm>
                    <a:prstGeom prst="rect">
                      <a:avLst/>
                    </a:prstGeom>
                    <a:ln/>
                  </pic:spPr>
                </pic:pic>
              </a:graphicData>
            </a:graphic>
          </wp:inline>
        </w:drawing>
      </w:r>
    </w:p>
    <w:p w14:paraId="07C78E6D" w14:textId="77777777" w:rsidR="00EB1BDD" w:rsidRDefault="00EB1BDD">
      <w:pPr>
        <w:rPr>
          <w:i/>
        </w:rPr>
      </w:pPr>
    </w:p>
    <w:p w14:paraId="0DAFB21C" w14:textId="77777777" w:rsidR="00EB1BDD" w:rsidRDefault="008017A1">
      <w:pPr>
        <w:rPr>
          <w:sz w:val="23"/>
          <w:szCs w:val="23"/>
        </w:rPr>
      </w:pPr>
      <w:r>
        <w:tab/>
      </w:r>
      <w:r>
        <w:rPr>
          <w:sz w:val="23"/>
          <w:szCs w:val="23"/>
        </w:rPr>
        <w:t xml:space="preserve">According to </w:t>
      </w:r>
      <w:r>
        <w:rPr>
          <w:i/>
          <w:sz w:val="23"/>
          <w:szCs w:val="23"/>
        </w:rPr>
        <w:t>Costar</w:t>
      </w:r>
      <w:r>
        <w:rPr>
          <w:sz w:val="23"/>
          <w:szCs w:val="23"/>
        </w:rPr>
        <w:t>, there are 10,000 square feet under construction at the first quarter of 2019, with 20,200 square feet of current available space. This shows a potential 30,200 square feet of supply within next 6 months.</w:t>
      </w:r>
    </w:p>
    <w:p w14:paraId="28508CBA" w14:textId="77777777" w:rsidR="00EB1BDD" w:rsidRDefault="008017A1">
      <w:r>
        <w:rPr>
          <w:noProof/>
        </w:rPr>
        <w:drawing>
          <wp:inline distT="0" distB="0" distL="0" distR="0" wp14:anchorId="5AF569BC" wp14:editId="13E62C30">
            <wp:extent cx="4204671" cy="247292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4204671" cy="2472925"/>
                    </a:xfrm>
                    <a:prstGeom prst="rect">
                      <a:avLst/>
                    </a:prstGeom>
                    <a:ln/>
                  </pic:spPr>
                </pic:pic>
              </a:graphicData>
            </a:graphic>
          </wp:inline>
        </w:drawing>
      </w:r>
    </w:p>
    <w:p w14:paraId="35338A05" w14:textId="77777777" w:rsidR="00EB1BDD" w:rsidRDefault="008017A1">
      <w:r>
        <w:rPr>
          <w:noProof/>
        </w:rPr>
        <w:lastRenderedPageBreak/>
        <w:drawing>
          <wp:inline distT="0" distB="0" distL="0" distR="0" wp14:anchorId="0039ED95" wp14:editId="495C0CD3">
            <wp:extent cx="3252199" cy="2845674"/>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3252199" cy="2845674"/>
                    </a:xfrm>
                    <a:prstGeom prst="rect">
                      <a:avLst/>
                    </a:prstGeom>
                    <a:ln/>
                  </pic:spPr>
                </pic:pic>
              </a:graphicData>
            </a:graphic>
          </wp:inline>
        </w:drawing>
      </w:r>
    </w:p>
    <w:p w14:paraId="1542C27A" w14:textId="77777777" w:rsidR="00EB1BDD" w:rsidRDefault="00EB1BDD">
      <w:pPr>
        <w:jc w:val="center"/>
        <w:rPr>
          <w:i/>
        </w:rPr>
      </w:pPr>
    </w:p>
    <w:p w14:paraId="3D2B81EF" w14:textId="77777777" w:rsidR="00EB1BDD" w:rsidRDefault="008017A1">
      <w:pPr>
        <w:rPr>
          <w:sz w:val="25"/>
          <w:szCs w:val="25"/>
        </w:rPr>
      </w:pPr>
      <w:r>
        <w:br w:type="page"/>
      </w:r>
    </w:p>
    <w:p w14:paraId="49248FD5" w14:textId="77777777" w:rsidR="00EB1BDD" w:rsidRDefault="008A62A0">
      <w:pPr>
        <w:rPr>
          <w:b/>
          <w:sz w:val="32"/>
          <w:szCs w:val="32"/>
        </w:rPr>
      </w:pPr>
      <w:r>
        <w:rPr>
          <w:b/>
          <w:color w:val="FF0000"/>
          <w:sz w:val="32"/>
          <w:szCs w:val="32"/>
        </w:rPr>
        <w:lastRenderedPageBreak/>
        <w:t>15</w:t>
      </w:r>
      <w:r w:rsidR="008017A1">
        <w:rPr>
          <w:b/>
          <w:sz w:val="32"/>
          <w:szCs w:val="32"/>
        </w:rPr>
        <w:t>Opportunities/Constraints &amp; Recommendation</w:t>
      </w:r>
    </w:p>
    <w:p w14:paraId="1AAEA856" w14:textId="77777777" w:rsidR="00EB1BDD" w:rsidRDefault="00EB1BDD">
      <w:pPr>
        <w:rPr>
          <w:b/>
          <w:sz w:val="32"/>
          <w:szCs w:val="32"/>
        </w:rPr>
      </w:pPr>
    </w:p>
    <w:p w14:paraId="397CA96F" w14:textId="77777777" w:rsidR="00EB1BDD" w:rsidRDefault="008017A1">
      <w:pPr>
        <w:jc w:val="center"/>
        <w:rPr>
          <w:i/>
          <w:sz w:val="25"/>
          <w:szCs w:val="25"/>
          <w:u w:val="single"/>
        </w:rPr>
      </w:pPr>
      <w:r>
        <w:rPr>
          <w:i/>
          <w:sz w:val="25"/>
          <w:szCs w:val="25"/>
          <w:u w:val="single"/>
        </w:rPr>
        <w:t>Opportunities/Constraints</w:t>
      </w:r>
    </w:p>
    <w:p w14:paraId="7E7CD805" w14:textId="77777777" w:rsidR="00EB1BDD" w:rsidRDefault="008017A1">
      <w:pPr>
        <w:ind w:firstLine="720"/>
        <w:rPr>
          <w:sz w:val="23"/>
          <w:szCs w:val="23"/>
        </w:rPr>
      </w:pPr>
      <w:r>
        <w:rPr>
          <w:sz w:val="23"/>
          <w:szCs w:val="23"/>
        </w:rPr>
        <w:t>The biggest opportunity present in this project is the low price for this project. Given the average lot price of $75.8/</w:t>
      </w:r>
      <w:proofErr w:type="spellStart"/>
      <w:r>
        <w:rPr>
          <w:sz w:val="23"/>
          <w:szCs w:val="23"/>
        </w:rPr>
        <w:t>s.f.</w:t>
      </w:r>
      <w:proofErr w:type="spellEnd"/>
      <w:r>
        <w:rPr>
          <w:sz w:val="23"/>
          <w:szCs w:val="23"/>
        </w:rPr>
        <w:t xml:space="preserve"> for recently sold units around the parcel, we are looking at sales price of $22.07/</w:t>
      </w:r>
      <w:proofErr w:type="spellStart"/>
      <w:r>
        <w:rPr>
          <w:sz w:val="23"/>
          <w:szCs w:val="23"/>
        </w:rPr>
        <w:t>s.f.</w:t>
      </w:r>
      <w:proofErr w:type="spellEnd"/>
      <w:r>
        <w:rPr>
          <w:sz w:val="23"/>
          <w:szCs w:val="23"/>
        </w:rPr>
        <w:t xml:space="preserve"> for this lot. Furthermore, based on the zoning code that the minimum requirement of 5400 square feet for residential 6, we could potentially split the parcel into two and build two unit on it with an average market price of $325/</w:t>
      </w:r>
      <w:proofErr w:type="spellStart"/>
      <w:r>
        <w:rPr>
          <w:sz w:val="23"/>
          <w:szCs w:val="23"/>
        </w:rPr>
        <w:t>s.f.</w:t>
      </w:r>
      <w:proofErr w:type="spellEnd"/>
      <w:r>
        <w:rPr>
          <w:sz w:val="23"/>
          <w:szCs w:val="23"/>
        </w:rPr>
        <w:t xml:space="preserve"> or rent it out with the average market rent rate of $19.5/sf. Even though we might fail to split the parcel into two, this parcel still presents sufficient room for profit. Moreover, since the </w:t>
      </w:r>
      <w:r>
        <w:rPr>
          <w:sz w:val="23"/>
          <w:szCs w:val="23"/>
          <w:highlight w:val="white"/>
        </w:rPr>
        <w:t>Sewer, water, power, and gas are available</w:t>
      </w:r>
      <w:r>
        <w:rPr>
          <w:sz w:val="23"/>
          <w:szCs w:val="23"/>
        </w:rPr>
        <w:t xml:space="preserve"> on the street, this could also save us lots of cost on the improvement to the land. Even though we are not looking at an unhealthy market that is either oversupply or undersupply, Kenmore City still present a healthy growth and a balance between demand and supply overall.</w:t>
      </w:r>
    </w:p>
    <w:p w14:paraId="167829B6" w14:textId="77777777" w:rsidR="00EB1BDD" w:rsidRDefault="008017A1">
      <w:pPr>
        <w:rPr>
          <w:sz w:val="23"/>
          <w:szCs w:val="23"/>
        </w:rPr>
      </w:pPr>
      <w:r>
        <w:rPr>
          <w:sz w:val="23"/>
          <w:szCs w:val="23"/>
        </w:rPr>
        <w:tab/>
        <w:t xml:space="preserve">However, given the lack of access to public transportation, this might essentially limit our buyers to car owner. Moreover, even though there are still new houses being built and sold recently in the neighborhood, most of the properties in this neighborhood were built during 1960s~1980s. Thus, we are still uncertain that </w:t>
      </w:r>
      <w:proofErr w:type="gramStart"/>
      <w:r>
        <w:rPr>
          <w:sz w:val="23"/>
          <w:szCs w:val="23"/>
        </w:rPr>
        <w:t>whether or not</w:t>
      </w:r>
      <w:proofErr w:type="gramEnd"/>
      <w:r>
        <w:rPr>
          <w:sz w:val="23"/>
          <w:szCs w:val="23"/>
        </w:rPr>
        <w:t xml:space="preserve"> the local community will oppose any new construction or the younger generation such as millennial will be willing to move into somewhere that need to drive to work.</w:t>
      </w:r>
    </w:p>
    <w:p w14:paraId="1AE4E231" w14:textId="77777777" w:rsidR="00EB1BDD" w:rsidRDefault="008017A1">
      <w:pPr>
        <w:ind w:firstLine="720"/>
        <w:rPr>
          <w:sz w:val="23"/>
          <w:szCs w:val="23"/>
        </w:rPr>
      </w:pPr>
      <w:r>
        <w:rPr>
          <w:sz w:val="23"/>
          <w:szCs w:val="23"/>
        </w:rPr>
        <w:t>One thing to add on is that the price for housing in Kenmore City has been increasing in a very high rate, which might indicate a bubble in this market. Furthermore, the Fed has been increasing the interest rate since last year and the global economic have started to show some signal of slowing down, this might suggest that the direction economic will be reverse at some point within one to two year.</w:t>
      </w:r>
    </w:p>
    <w:p w14:paraId="59C638AF" w14:textId="77777777" w:rsidR="00EB1BDD" w:rsidRDefault="008017A1">
      <w:pPr>
        <w:ind w:firstLine="720"/>
        <w:jc w:val="center"/>
        <w:rPr>
          <w:i/>
          <w:sz w:val="25"/>
          <w:szCs w:val="25"/>
          <w:u w:val="single"/>
        </w:rPr>
      </w:pPr>
      <w:r>
        <w:rPr>
          <w:i/>
          <w:sz w:val="25"/>
          <w:szCs w:val="25"/>
          <w:u w:val="single"/>
        </w:rPr>
        <w:t>Recommendation</w:t>
      </w:r>
    </w:p>
    <w:p w14:paraId="247964F9" w14:textId="77777777" w:rsidR="00EB1BDD" w:rsidRDefault="008017A1">
      <w:pPr>
        <w:rPr>
          <w:sz w:val="23"/>
          <w:szCs w:val="23"/>
        </w:rPr>
      </w:pPr>
      <w:bookmarkStart w:id="0" w:name="_gjdgxs" w:colFirst="0" w:colLast="0"/>
      <w:bookmarkEnd w:id="0"/>
      <w:r>
        <w:tab/>
      </w:r>
      <w:r>
        <w:rPr>
          <w:sz w:val="23"/>
          <w:szCs w:val="23"/>
        </w:rPr>
        <w:t xml:space="preserve">Given the price of this parcel and the market analysis that were presented above, we will recommend to purchase this parcel and attempt to split this parcel into two lots. By building residential units on both lots, this could potentially generate most of the profit out of this project. However, we should also be cautious that the economic is starting to show some sign of unstable and the direction of the economic might turn at some point of near future. Thus, we would recommend take on less leverage and potentially a fixed rate mortgage to transfer the interest rate risk to the lender. Furthermore, some of the more detail research, such as environmental report, construction cost analysis, etc., particular to this parcel should also be done before the </w:t>
      </w:r>
      <w:proofErr w:type="gramStart"/>
      <w:r>
        <w:rPr>
          <w:sz w:val="23"/>
          <w:szCs w:val="23"/>
        </w:rPr>
        <w:t>purchase</w:t>
      </w:r>
      <w:proofErr w:type="gramEnd"/>
    </w:p>
    <w:p w14:paraId="60235E4D" w14:textId="77777777" w:rsidR="00EB1BDD" w:rsidRDefault="008017A1">
      <w:pPr>
        <w:rPr>
          <w:rFonts w:ascii="Calibri" w:eastAsia="Calibri" w:hAnsi="Calibri" w:cs="Calibri"/>
          <w:b/>
          <w:color w:val="666666"/>
          <w:sz w:val="23"/>
          <w:szCs w:val="23"/>
        </w:rPr>
      </w:pPr>
      <w:r>
        <w:rPr>
          <w:rFonts w:ascii="Calibri" w:eastAsia="Calibri" w:hAnsi="Calibri" w:cs="Calibri"/>
          <w:b/>
          <w:color w:val="666666"/>
          <w:sz w:val="23"/>
          <w:szCs w:val="23"/>
        </w:rPr>
        <w:tab/>
      </w:r>
    </w:p>
    <w:p w14:paraId="47E59281" w14:textId="77777777" w:rsidR="00EB1BDD" w:rsidRDefault="00EB1BDD">
      <w:pPr>
        <w:rPr>
          <w:rFonts w:ascii="Calibri" w:eastAsia="Calibri" w:hAnsi="Calibri" w:cs="Calibri"/>
          <w:b/>
          <w:color w:val="666666"/>
          <w:sz w:val="23"/>
          <w:szCs w:val="23"/>
        </w:rPr>
      </w:pPr>
    </w:p>
    <w:p w14:paraId="4D32333B" w14:textId="77777777" w:rsidR="00EB1BDD" w:rsidRDefault="008017A1">
      <w:pPr>
        <w:rPr>
          <w:rFonts w:ascii="Calibri" w:eastAsia="Calibri" w:hAnsi="Calibri" w:cs="Calibri"/>
          <w:b/>
          <w:color w:val="666666"/>
          <w:sz w:val="23"/>
          <w:szCs w:val="23"/>
        </w:rPr>
      </w:pPr>
      <w:r>
        <w:br w:type="page"/>
      </w:r>
    </w:p>
    <w:p w14:paraId="19E44C82" w14:textId="77777777" w:rsidR="00EB1BDD" w:rsidRDefault="008017A1">
      <w:pPr>
        <w:rPr>
          <w:rFonts w:ascii="Calibri" w:eastAsia="Calibri" w:hAnsi="Calibri" w:cs="Calibri"/>
          <w:b/>
          <w:sz w:val="32"/>
          <w:szCs w:val="32"/>
        </w:rPr>
      </w:pPr>
      <w:r>
        <w:rPr>
          <w:rFonts w:ascii="Calibri" w:eastAsia="Calibri" w:hAnsi="Calibri" w:cs="Calibri"/>
          <w:b/>
          <w:sz w:val="32"/>
          <w:szCs w:val="32"/>
        </w:rPr>
        <w:lastRenderedPageBreak/>
        <w:t>Appendix</w:t>
      </w:r>
    </w:p>
    <w:p w14:paraId="6657C42E" w14:textId="77777777" w:rsidR="00EB1BDD" w:rsidRDefault="008017A1">
      <w:pPr>
        <w:rPr>
          <w:rFonts w:ascii="Cambria" w:eastAsia="Cambria" w:hAnsi="Cambria" w:cs="Cambria"/>
          <w:color w:val="0070C0"/>
          <w:sz w:val="24"/>
          <w:szCs w:val="24"/>
          <w:u w:val="single"/>
        </w:rPr>
      </w:pPr>
      <w:r>
        <w:rPr>
          <w:sz w:val="25"/>
          <w:szCs w:val="25"/>
        </w:rPr>
        <w:t>Appendix A. – Basic Information &amp; Analysis to the Parcel</w:t>
      </w:r>
    </w:p>
    <w:p w14:paraId="500E1850" w14:textId="77777777" w:rsidR="00EB1BDD" w:rsidRDefault="00EB1BDD">
      <w:pPr>
        <w:rPr>
          <w:rFonts w:ascii="Calibri" w:eastAsia="Calibri" w:hAnsi="Calibri" w:cs="Calibri"/>
          <w:b/>
          <w:sz w:val="23"/>
          <w:szCs w:val="23"/>
        </w:rPr>
      </w:pPr>
    </w:p>
    <w:p w14:paraId="47C79BB7" w14:textId="77777777" w:rsidR="00EB1BDD" w:rsidRDefault="008017A1">
      <w:pPr>
        <w:rPr>
          <w:rFonts w:ascii="Calibri" w:eastAsia="Calibri" w:hAnsi="Calibri" w:cs="Calibri"/>
          <w:b/>
          <w:highlight w:val="white"/>
        </w:rPr>
      </w:pPr>
      <w:r>
        <w:rPr>
          <w:rFonts w:ascii="Calibri" w:eastAsia="Calibri" w:hAnsi="Calibri" w:cs="Calibri"/>
          <w:b/>
          <w:color w:val="666666"/>
        </w:rPr>
        <w:t>Address:</w:t>
      </w:r>
      <w:r>
        <w:rPr>
          <w:rFonts w:ascii="Calibri" w:eastAsia="Calibri" w:hAnsi="Calibri" w:cs="Calibri"/>
        </w:rPr>
        <w:t xml:space="preserve"> </w:t>
      </w:r>
      <w:r>
        <w:rPr>
          <w:rFonts w:ascii="Calibri" w:eastAsia="Calibri" w:hAnsi="Calibri" w:cs="Calibri"/>
          <w:b/>
          <w:highlight w:val="white"/>
        </w:rPr>
        <w:t>8203 NE 159th St, Kenmore, WA 98028</w:t>
      </w:r>
    </w:p>
    <w:p w14:paraId="4FAD8F79" w14:textId="77777777" w:rsidR="00EB1BDD" w:rsidRDefault="008017A1">
      <w:pPr>
        <w:rPr>
          <w:rFonts w:ascii="Calibri" w:eastAsia="Calibri" w:hAnsi="Calibri" w:cs="Calibri"/>
          <w:b/>
          <w:highlight w:val="white"/>
        </w:rPr>
      </w:pPr>
      <w:r>
        <w:rPr>
          <w:rFonts w:ascii="Calibri" w:eastAsia="Calibri" w:hAnsi="Calibri" w:cs="Calibri"/>
          <w:b/>
          <w:color w:val="666666"/>
          <w:highlight w:val="white"/>
        </w:rPr>
        <w:t>Parcel #:</w:t>
      </w:r>
      <w:r>
        <w:rPr>
          <w:rFonts w:ascii="Calibri" w:eastAsia="Calibri" w:hAnsi="Calibri" w:cs="Calibri"/>
          <w:b/>
          <w:color w:val="444444"/>
          <w:highlight w:val="white"/>
        </w:rPr>
        <w:t xml:space="preserve"> </w:t>
      </w:r>
      <w:r>
        <w:rPr>
          <w:rFonts w:ascii="Calibri" w:eastAsia="Calibri" w:hAnsi="Calibri" w:cs="Calibri"/>
          <w:b/>
          <w:highlight w:val="white"/>
        </w:rPr>
        <w:t>8950500020</w:t>
      </w:r>
    </w:p>
    <w:p w14:paraId="5066068C" w14:textId="77777777" w:rsidR="00EB1BDD" w:rsidRDefault="008017A1">
      <w:pPr>
        <w:rPr>
          <w:rFonts w:ascii="Calibri" w:eastAsia="Calibri" w:hAnsi="Calibri" w:cs="Calibri"/>
          <w:b/>
          <w:highlight w:val="white"/>
        </w:rPr>
      </w:pPr>
      <w:r>
        <w:rPr>
          <w:rFonts w:ascii="Calibri" w:eastAsia="Calibri" w:hAnsi="Calibri" w:cs="Calibri"/>
          <w:b/>
          <w:color w:val="666666"/>
          <w:highlight w:val="white"/>
        </w:rPr>
        <w:t xml:space="preserve">MLS #: </w:t>
      </w:r>
      <w:r>
        <w:rPr>
          <w:rFonts w:ascii="Calibri" w:eastAsia="Calibri" w:hAnsi="Calibri" w:cs="Calibri"/>
          <w:b/>
          <w:highlight w:val="white"/>
        </w:rPr>
        <w:t>1086893</w:t>
      </w:r>
    </w:p>
    <w:p w14:paraId="751610C8" w14:textId="77777777" w:rsidR="00EB1BDD" w:rsidRDefault="008017A1">
      <w:pPr>
        <w:rPr>
          <w:rFonts w:ascii="Calibri" w:eastAsia="Calibri" w:hAnsi="Calibri" w:cs="Calibri"/>
          <w:b/>
          <w:highlight w:val="white"/>
        </w:rPr>
      </w:pPr>
      <w:r>
        <w:rPr>
          <w:rFonts w:ascii="Calibri" w:eastAsia="Calibri" w:hAnsi="Calibri" w:cs="Calibri"/>
          <w:b/>
          <w:color w:val="666666"/>
          <w:highlight w:val="white"/>
        </w:rPr>
        <w:t>Price: $</w:t>
      </w:r>
      <w:r>
        <w:rPr>
          <w:rFonts w:ascii="Calibri" w:eastAsia="Calibri" w:hAnsi="Calibri" w:cs="Calibri"/>
          <w:b/>
          <w:highlight w:val="white"/>
        </w:rPr>
        <w:t>250,000</w:t>
      </w:r>
    </w:p>
    <w:p w14:paraId="6A8EC662" w14:textId="77777777" w:rsidR="00EB1BDD" w:rsidRDefault="008017A1">
      <w:pPr>
        <w:rPr>
          <w:rFonts w:ascii="Calibri" w:eastAsia="Calibri" w:hAnsi="Calibri" w:cs="Calibri"/>
          <w:b/>
          <w:highlight w:val="white"/>
        </w:rPr>
      </w:pPr>
      <w:r>
        <w:rPr>
          <w:rFonts w:ascii="Calibri" w:eastAsia="Calibri" w:hAnsi="Calibri" w:cs="Calibri"/>
          <w:b/>
          <w:color w:val="666666"/>
          <w:highlight w:val="white"/>
        </w:rPr>
        <w:t>Lot Size:</w:t>
      </w:r>
      <w:r>
        <w:rPr>
          <w:rFonts w:ascii="Calibri" w:eastAsia="Calibri" w:hAnsi="Calibri" w:cs="Calibri"/>
          <w:b/>
          <w:highlight w:val="white"/>
        </w:rPr>
        <w:t xml:space="preserve"> 11325.6 </w:t>
      </w:r>
      <w:proofErr w:type="spellStart"/>
      <w:r>
        <w:rPr>
          <w:rFonts w:ascii="Calibri" w:eastAsia="Calibri" w:hAnsi="Calibri" w:cs="Calibri"/>
          <w:b/>
          <w:highlight w:val="white"/>
        </w:rPr>
        <w:t>s.f.</w:t>
      </w:r>
      <w:proofErr w:type="spellEnd"/>
      <w:r>
        <w:rPr>
          <w:rFonts w:ascii="Calibri" w:eastAsia="Calibri" w:hAnsi="Calibri" w:cs="Calibri"/>
          <w:b/>
          <w:highlight w:val="white"/>
        </w:rPr>
        <w:t xml:space="preserve"> = 0.26 acre ($22.07/</w:t>
      </w:r>
      <w:proofErr w:type="spellStart"/>
      <w:r>
        <w:rPr>
          <w:rFonts w:ascii="Calibri" w:eastAsia="Calibri" w:hAnsi="Calibri" w:cs="Calibri"/>
          <w:b/>
          <w:highlight w:val="white"/>
        </w:rPr>
        <w:t>s.f.</w:t>
      </w:r>
      <w:proofErr w:type="spellEnd"/>
      <w:r>
        <w:rPr>
          <w:rFonts w:ascii="Calibri" w:eastAsia="Calibri" w:hAnsi="Calibri" w:cs="Calibri"/>
          <w:b/>
          <w:highlight w:val="white"/>
        </w:rPr>
        <w:t>)</w:t>
      </w:r>
    </w:p>
    <w:p w14:paraId="025D9604" w14:textId="77777777" w:rsidR="00EB1BDD" w:rsidRDefault="008017A1">
      <w:pPr>
        <w:rPr>
          <w:rFonts w:ascii="Calibri" w:eastAsia="Calibri" w:hAnsi="Calibri" w:cs="Calibri"/>
          <w:b/>
          <w:highlight w:val="white"/>
        </w:rPr>
      </w:pPr>
      <w:r>
        <w:rPr>
          <w:rFonts w:ascii="Calibri" w:eastAsia="Calibri" w:hAnsi="Calibri" w:cs="Calibri"/>
          <w:b/>
          <w:color w:val="666666"/>
          <w:highlight w:val="white"/>
        </w:rPr>
        <w:t>Zoning:</w:t>
      </w:r>
      <w:r>
        <w:rPr>
          <w:rFonts w:ascii="Calibri" w:eastAsia="Calibri" w:hAnsi="Calibri" w:cs="Calibri"/>
          <w:b/>
          <w:highlight w:val="white"/>
        </w:rPr>
        <w:t xml:space="preserve"> Residential 6</w:t>
      </w:r>
    </w:p>
    <w:p w14:paraId="5B50C6F5" w14:textId="77777777" w:rsidR="00EB1BDD" w:rsidRDefault="008017A1">
      <w:pPr>
        <w:rPr>
          <w:rFonts w:ascii="Calibri" w:eastAsia="Calibri" w:hAnsi="Calibri" w:cs="Calibri"/>
          <w:b/>
          <w:color w:val="666666"/>
          <w:highlight w:val="white"/>
        </w:rPr>
      </w:pPr>
      <w:r>
        <w:rPr>
          <w:rFonts w:ascii="Calibri" w:eastAsia="Calibri" w:hAnsi="Calibri" w:cs="Calibri"/>
          <w:b/>
          <w:color w:val="666666"/>
          <w:highlight w:val="white"/>
        </w:rPr>
        <w:t>Average Price in Neighborhood:</w:t>
      </w:r>
    </w:p>
    <w:p w14:paraId="44ED84FD" w14:textId="77777777" w:rsidR="00EB1BDD" w:rsidRDefault="008017A1">
      <w:pPr>
        <w:rPr>
          <w:rFonts w:ascii="Calibri" w:eastAsia="Calibri" w:hAnsi="Calibri" w:cs="Calibri"/>
          <w:b/>
          <w:highlight w:val="white"/>
        </w:rPr>
      </w:pPr>
      <w:r>
        <w:rPr>
          <w:rFonts w:ascii="Calibri" w:eastAsia="Calibri" w:hAnsi="Calibri" w:cs="Calibri"/>
          <w:b/>
          <w:color w:val="666666"/>
          <w:highlight w:val="white"/>
        </w:rPr>
        <w:tab/>
        <w:t>Lot ($/</w:t>
      </w:r>
      <w:proofErr w:type="spellStart"/>
      <w:r>
        <w:rPr>
          <w:rFonts w:ascii="Calibri" w:eastAsia="Calibri" w:hAnsi="Calibri" w:cs="Calibri"/>
          <w:b/>
          <w:color w:val="666666"/>
          <w:highlight w:val="white"/>
        </w:rPr>
        <w:t>s.f.</w:t>
      </w:r>
      <w:proofErr w:type="spellEnd"/>
      <w:r>
        <w:rPr>
          <w:rFonts w:ascii="Calibri" w:eastAsia="Calibri" w:hAnsi="Calibri" w:cs="Calibri"/>
          <w:b/>
          <w:color w:val="666666"/>
          <w:highlight w:val="white"/>
        </w:rPr>
        <w:t>):</w:t>
      </w:r>
      <w:r>
        <w:rPr>
          <w:rFonts w:ascii="Calibri" w:eastAsia="Calibri" w:hAnsi="Calibri" w:cs="Calibri"/>
          <w:b/>
          <w:highlight w:val="white"/>
        </w:rPr>
        <w:t xml:space="preserve"> $75.82</w:t>
      </w:r>
    </w:p>
    <w:p w14:paraId="6713C289" w14:textId="77777777" w:rsidR="00EB1BDD" w:rsidRDefault="008017A1">
      <w:pPr>
        <w:rPr>
          <w:rFonts w:ascii="Calibri" w:eastAsia="Calibri" w:hAnsi="Calibri" w:cs="Calibri"/>
          <w:b/>
          <w:highlight w:val="white"/>
        </w:rPr>
      </w:pPr>
      <w:r>
        <w:rPr>
          <w:rFonts w:ascii="Calibri" w:eastAsia="Calibri" w:hAnsi="Calibri" w:cs="Calibri"/>
          <w:b/>
          <w:color w:val="666666"/>
          <w:highlight w:val="white"/>
        </w:rPr>
        <w:tab/>
        <w:t>Floor ($/</w:t>
      </w:r>
      <w:proofErr w:type="spellStart"/>
      <w:r>
        <w:rPr>
          <w:rFonts w:ascii="Calibri" w:eastAsia="Calibri" w:hAnsi="Calibri" w:cs="Calibri"/>
          <w:b/>
          <w:color w:val="666666"/>
          <w:highlight w:val="white"/>
        </w:rPr>
        <w:t>s.f.</w:t>
      </w:r>
      <w:proofErr w:type="spellEnd"/>
      <w:r>
        <w:rPr>
          <w:rFonts w:ascii="Calibri" w:eastAsia="Calibri" w:hAnsi="Calibri" w:cs="Calibri"/>
          <w:b/>
          <w:color w:val="666666"/>
          <w:highlight w:val="white"/>
        </w:rPr>
        <w:t xml:space="preserve">): </w:t>
      </w:r>
      <w:r>
        <w:rPr>
          <w:rFonts w:ascii="Calibri" w:eastAsia="Calibri" w:hAnsi="Calibri" w:cs="Calibri"/>
          <w:b/>
          <w:highlight w:val="white"/>
        </w:rPr>
        <w:t>$330.19</w:t>
      </w:r>
    </w:p>
    <w:p w14:paraId="7C1AFFCC" w14:textId="77777777" w:rsidR="00EB1BDD" w:rsidRDefault="008017A1">
      <w:pPr>
        <w:rPr>
          <w:rFonts w:ascii="Calibri" w:eastAsia="Calibri" w:hAnsi="Calibri" w:cs="Calibri"/>
          <w:b/>
          <w:color w:val="666666"/>
          <w:highlight w:val="white"/>
        </w:rPr>
      </w:pPr>
      <w:r>
        <w:rPr>
          <w:rFonts w:ascii="Calibri" w:eastAsia="Calibri" w:hAnsi="Calibri" w:cs="Calibri"/>
          <w:b/>
          <w:color w:val="666666"/>
          <w:highlight w:val="white"/>
        </w:rPr>
        <w:t>Feature:</w:t>
      </w:r>
    </w:p>
    <w:p w14:paraId="32D422E1" w14:textId="77777777" w:rsidR="00EB1BDD" w:rsidRDefault="008017A1">
      <w:pPr>
        <w:ind w:firstLine="720"/>
        <w:rPr>
          <w:rFonts w:ascii="Calibri" w:eastAsia="Calibri" w:hAnsi="Calibri" w:cs="Calibri"/>
          <w:b/>
          <w:highlight w:val="white"/>
        </w:rPr>
      </w:pPr>
      <w:proofErr w:type="spellStart"/>
      <w:r>
        <w:rPr>
          <w:rFonts w:ascii="Calibri" w:eastAsia="Calibri" w:hAnsi="Calibri" w:cs="Calibri"/>
          <w:b/>
          <w:highlight w:val="white"/>
        </w:rPr>
        <w:t>Inglemoor</w:t>
      </w:r>
      <w:proofErr w:type="spellEnd"/>
      <w:r>
        <w:rPr>
          <w:rFonts w:ascii="Calibri" w:eastAsia="Calibri" w:hAnsi="Calibri" w:cs="Calibri"/>
          <w:b/>
          <w:highlight w:val="white"/>
        </w:rPr>
        <w:t xml:space="preserve"> High School</w:t>
      </w:r>
    </w:p>
    <w:p w14:paraId="0F4AEFA0" w14:textId="77777777" w:rsidR="00EB1BDD" w:rsidRDefault="008017A1">
      <w:pPr>
        <w:ind w:firstLine="720"/>
        <w:rPr>
          <w:rFonts w:ascii="Calibri" w:eastAsia="Calibri" w:hAnsi="Calibri" w:cs="Calibri"/>
          <w:b/>
          <w:highlight w:val="white"/>
        </w:rPr>
      </w:pPr>
      <w:r>
        <w:rPr>
          <w:rFonts w:ascii="Calibri" w:eastAsia="Calibri" w:hAnsi="Calibri" w:cs="Calibri"/>
          <w:b/>
          <w:highlight w:val="white"/>
        </w:rPr>
        <w:t>Sewer, water, power &amp; gas available.</w:t>
      </w:r>
    </w:p>
    <w:p w14:paraId="48D79774" w14:textId="77777777" w:rsidR="00EB1BDD" w:rsidRDefault="008017A1">
      <w:pPr>
        <w:rPr>
          <w:rFonts w:ascii="Calibri" w:eastAsia="Calibri" w:hAnsi="Calibri" w:cs="Calibri"/>
          <w:b/>
          <w:color w:val="666666"/>
          <w:highlight w:val="white"/>
        </w:rPr>
      </w:pPr>
      <w:r>
        <w:rPr>
          <w:rFonts w:ascii="Calibri" w:eastAsia="Calibri" w:hAnsi="Calibri" w:cs="Calibri"/>
          <w:b/>
          <w:color w:val="666666"/>
          <w:highlight w:val="white"/>
        </w:rPr>
        <w:t>Potential:</w:t>
      </w:r>
    </w:p>
    <w:p w14:paraId="11DA1E2D" w14:textId="77777777" w:rsidR="00EB1BDD" w:rsidRDefault="008017A1">
      <w:pPr>
        <w:ind w:firstLine="720"/>
        <w:rPr>
          <w:rFonts w:ascii="Calibri" w:eastAsia="Calibri" w:hAnsi="Calibri" w:cs="Calibri"/>
          <w:b/>
          <w:highlight w:val="white"/>
        </w:rPr>
      </w:pPr>
      <w:r>
        <w:rPr>
          <w:rFonts w:ascii="Calibri" w:eastAsia="Calibri" w:hAnsi="Calibri" w:cs="Calibri"/>
          <w:b/>
          <w:highlight w:val="white"/>
        </w:rPr>
        <w:t xml:space="preserve">2 units (5662.8 </w:t>
      </w:r>
      <w:proofErr w:type="spellStart"/>
      <w:r>
        <w:rPr>
          <w:rFonts w:ascii="Calibri" w:eastAsia="Calibri" w:hAnsi="Calibri" w:cs="Calibri"/>
          <w:b/>
          <w:highlight w:val="white"/>
        </w:rPr>
        <w:t>s.f.</w:t>
      </w:r>
      <w:proofErr w:type="spellEnd"/>
      <w:r>
        <w:rPr>
          <w:rFonts w:ascii="Calibri" w:eastAsia="Calibri" w:hAnsi="Calibri" w:cs="Calibri"/>
          <w:b/>
          <w:highlight w:val="white"/>
        </w:rPr>
        <w:t xml:space="preserve"> Lot size per units) -&gt; Pass the minimum 5,400 </w:t>
      </w:r>
      <w:proofErr w:type="spellStart"/>
      <w:r>
        <w:rPr>
          <w:rFonts w:ascii="Calibri" w:eastAsia="Calibri" w:hAnsi="Calibri" w:cs="Calibri"/>
          <w:b/>
          <w:highlight w:val="white"/>
        </w:rPr>
        <w:t>s.f.</w:t>
      </w:r>
      <w:proofErr w:type="spellEnd"/>
    </w:p>
    <w:p w14:paraId="77C46070" w14:textId="77777777" w:rsidR="00EB1BDD" w:rsidRDefault="008017A1">
      <w:pPr>
        <w:ind w:firstLine="720"/>
        <w:rPr>
          <w:rFonts w:ascii="Calibri" w:eastAsia="Calibri" w:hAnsi="Calibri" w:cs="Calibri"/>
          <w:b/>
          <w:highlight w:val="white"/>
        </w:rPr>
      </w:pPr>
      <w:r>
        <w:rPr>
          <w:rFonts w:ascii="Calibri" w:eastAsia="Calibri" w:hAnsi="Calibri" w:cs="Calibri"/>
          <w:b/>
          <w:highlight w:val="white"/>
        </w:rPr>
        <w:t>Assumption:</w:t>
      </w:r>
    </w:p>
    <w:p w14:paraId="43B49C74" w14:textId="77777777" w:rsidR="00EB1BDD" w:rsidRDefault="008017A1">
      <w:pPr>
        <w:ind w:firstLine="720"/>
        <w:rPr>
          <w:rFonts w:ascii="Calibri" w:eastAsia="Calibri" w:hAnsi="Calibri" w:cs="Calibri"/>
          <w:b/>
          <w:highlight w:val="white"/>
        </w:rPr>
      </w:pPr>
      <w:r>
        <w:rPr>
          <w:rFonts w:ascii="Calibri" w:eastAsia="Calibri" w:hAnsi="Calibri" w:cs="Calibri"/>
          <w:b/>
          <w:highlight w:val="white"/>
        </w:rPr>
        <w:tab/>
        <w:t xml:space="preserve">Floor Size: 2500 </w:t>
      </w:r>
      <w:proofErr w:type="spellStart"/>
      <w:r>
        <w:rPr>
          <w:rFonts w:ascii="Calibri" w:eastAsia="Calibri" w:hAnsi="Calibri" w:cs="Calibri"/>
          <w:b/>
          <w:highlight w:val="white"/>
        </w:rPr>
        <w:t>s.f.</w:t>
      </w:r>
      <w:proofErr w:type="spellEnd"/>
    </w:p>
    <w:p w14:paraId="02E2DA0C" w14:textId="77777777" w:rsidR="00EB1BDD" w:rsidRDefault="008017A1">
      <w:pPr>
        <w:ind w:firstLine="720"/>
        <w:rPr>
          <w:rFonts w:ascii="Calibri" w:eastAsia="Calibri" w:hAnsi="Calibri" w:cs="Calibri"/>
          <w:b/>
          <w:highlight w:val="white"/>
        </w:rPr>
      </w:pPr>
      <w:r>
        <w:rPr>
          <w:rFonts w:ascii="Calibri" w:eastAsia="Calibri" w:hAnsi="Calibri" w:cs="Calibri"/>
          <w:b/>
          <w:highlight w:val="white"/>
        </w:rPr>
        <w:tab/>
        <w:t>Sales Price (Based on Market Average): Average of the three: $632273 / property =&gt; $1.26 M</w:t>
      </w:r>
    </w:p>
    <w:p w14:paraId="53D3B1E9" w14:textId="77777777" w:rsidR="00EB1BDD" w:rsidRDefault="008017A1">
      <w:pPr>
        <w:ind w:firstLine="720"/>
        <w:rPr>
          <w:rFonts w:ascii="Calibri" w:eastAsia="Calibri" w:hAnsi="Calibri" w:cs="Calibri"/>
          <w:b/>
          <w:highlight w:val="white"/>
        </w:rPr>
      </w:pPr>
      <w:r>
        <w:rPr>
          <w:rFonts w:ascii="Calibri" w:eastAsia="Calibri" w:hAnsi="Calibri" w:cs="Calibri"/>
          <w:b/>
          <w:highlight w:val="white"/>
        </w:rPr>
        <w:t>&lt;Lot Based: $409320. Home Price Based: $825000. Similar Project Based: $662500&gt;</w:t>
      </w:r>
    </w:p>
    <w:p w14:paraId="7B5D1049" w14:textId="77777777" w:rsidR="00EB1BDD" w:rsidRDefault="00EB1BDD">
      <w:pPr>
        <w:rPr>
          <w:rFonts w:ascii="Verdana" w:eastAsia="Verdana" w:hAnsi="Verdana" w:cs="Verdana"/>
          <w:b/>
          <w:color w:val="666666"/>
          <w:sz w:val="23"/>
          <w:szCs w:val="23"/>
          <w:highlight w:val="white"/>
        </w:rPr>
      </w:pPr>
    </w:p>
    <w:p w14:paraId="3C46ACCB" w14:textId="77777777" w:rsidR="00EB1BDD" w:rsidRDefault="008017A1">
      <w:pPr>
        <w:ind w:right="-13766"/>
        <w:rPr>
          <w:sz w:val="25"/>
          <w:szCs w:val="25"/>
        </w:rPr>
      </w:pPr>
      <w:r>
        <w:br w:type="page"/>
      </w:r>
    </w:p>
    <w:p w14:paraId="7E5FAD5A" w14:textId="77777777" w:rsidR="00EB1BDD" w:rsidRDefault="008017A1">
      <w:pPr>
        <w:ind w:right="-13766"/>
        <w:rPr>
          <w:sz w:val="25"/>
          <w:szCs w:val="25"/>
        </w:rPr>
      </w:pPr>
      <w:r>
        <w:rPr>
          <w:sz w:val="25"/>
          <w:szCs w:val="25"/>
        </w:rPr>
        <w:lastRenderedPageBreak/>
        <w:t>Appendix B. – Zoning Map</w:t>
      </w:r>
    </w:p>
    <w:p w14:paraId="378A4C15" w14:textId="77777777" w:rsidR="00EB1BDD" w:rsidRDefault="008017A1">
      <w:r>
        <w:rPr>
          <w:noProof/>
        </w:rPr>
        <w:drawing>
          <wp:inline distT="114300" distB="114300" distL="114300" distR="114300" wp14:anchorId="6B64CE1F" wp14:editId="154470D4">
            <wp:extent cx="3152775" cy="268605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3152775" cy="2686050"/>
                    </a:xfrm>
                    <a:prstGeom prst="rect">
                      <a:avLst/>
                    </a:prstGeom>
                    <a:ln/>
                  </pic:spPr>
                </pic:pic>
              </a:graphicData>
            </a:graphic>
          </wp:inline>
        </w:drawing>
      </w:r>
      <w:r>
        <w:rPr>
          <w:noProof/>
        </w:rPr>
        <w:drawing>
          <wp:inline distT="114300" distB="114300" distL="114300" distR="114300" wp14:anchorId="7DA92857" wp14:editId="5D7D7BB4">
            <wp:extent cx="4445404" cy="919163"/>
            <wp:effectExtent l="0" t="0" r="0" b="0"/>
            <wp:docPr id="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4445404" cy="919163"/>
                    </a:xfrm>
                    <a:prstGeom prst="rect">
                      <a:avLst/>
                    </a:prstGeom>
                    <a:ln/>
                  </pic:spPr>
                </pic:pic>
              </a:graphicData>
            </a:graphic>
          </wp:inline>
        </w:drawing>
      </w:r>
    </w:p>
    <w:p w14:paraId="4F959B2B" w14:textId="77777777" w:rsidR="00EB1BDD" w:rsidRDefault="00EB1BDD"/>
    <w:p w14:paraId="396E9CC9" w14:textId="77777777" w:rsidR="00EB1BDD" w:rsidRDefault="008017A1">
      <w:r>
        <w:rPr>
          <w:sz w:val="25"/>
          <w:szCs w:val="25"/>
        </w:rPr>
        <w:lastRenderedPageBreak/>
        <w:t>Appendix C. – R-6 Zones Allowances</w:t>
      </w:r>
      <w:r>
        <w:rPr>
          <w:noProof/>
        </w:rPr>
        <w:drawing>
          <wp:inline distT="114300" distB="114300" distL="114300" distR="114300" wp14:anchorId="31FF8A06" wp14:editId="335ED5A8">
            <wp:extent cx="4678243" cy="581501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4678243" cy="5815013"/>
                    </a:xfrm>
                    <a:prstGeom prst="rect">
                      <a:avLst/>
                    </a:prstGeom>
                    <a:ln/>
                  </pic:spPr>
                </pic:pic>
              </a:graphicData>
            </a:graphic>
          </wp:inline>
        </w:drawing>
      </w:r>
    </w:p>
    <w:p w14:paraId="63818E87" w14:textId="77777777" w:rsidR="00EB1BDD" w:rsidRDefault="00EB1BDD"/>
    <w:p w14:paraId="7C45C421" w14:textId="77777777" w:rsidR="00EB1BDD" w:rsidRDefault="008017A1">
      <w:r>
        <w:rPr>
          <w:sz w:val="25"/>
          <w:szCs w:val="25"/>
        </w:rPr>
        <w:lastRenderedPageBreak/>
        <w:t>Appendix D. – R-6 Development Standard</w:t>
      </w:r>
      <w:r>
        <w:rPr>
          <w:noProof/>
        </w:rPr>
        <w:drawing>
          <wp:inline distT="114300" distB="114300" distL="114300" distR="114300" wp14:anchorId="583760D3" wp14:editId="5F8A73D7">
            <wp:extent cx="4757738" cy="3653732"/>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4757738" cy="3653732"/>
                    </a:xfrm>
                    <a:prstGeom prst="rect">
                      <a:avLst/>
                    </a:prstGeom>
                    <a:ln/>
                  </pic:spPr>
                </pic:pic>
              </a:graphicData>
            </a:graphic>
          </wp:inline>
        </w:drawing>
      </w:r>
    </w:p>
    <w:p w14:paraId="1B822631" w14:textId="77777777" w:rsidR="00EB1BDD" w:rsidRDefault="00EB1BDD"/>
    <w:p w14:paraId="6AFFF78C" w14:textId="77777777" w:rsidR="00EB1BDD" w:rsidRDefault="008017A1">
      <w:pPr>
        <w:rPr>
          <w:sz w:val="25"/>
          <w:szCs w:val="25"/>
        </w:rPr>
      </w:pPr>
      <w:r>
        <w:rPr>
          <w:sz w:val="25"/>
          <w:szCs w:val="25"/>
        </w:rPr>
        <w:t>Appendix E. - (Census Tracts 217, 218.03, 221.01, 221.02, 220.01, 222.01, 220.03)</w:t>
      </w:r>
    </w:p>
    <w:p w14:paraId="78C89637" w14:textId="77777777" w:rsidR="00EB1BDD" w:rsidRDefault="008017A1">
      <w:pPr>
        <w:rPr>
          <w:b/>
          <w:sz w:val="25"/>
          <w:szCs w:val="25"/>
        </w:rPr>
      </w:pPr>
      <w:r>
        <w:rPr>
          <w:noProof/>
          <w:sz w:val="25"/>
          <w:szCs w:val="25"/>
        </w:rPr>
        <w:drawing>
          <wp:inline distT="114300" distB="114300" distL="114300" distR="114300" wp14:anchorId="5D8ADC3D" wp14:editId="333007E6">
            <wp:extent cx="2598810" cy="2500313"/>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a:srcRect/>
                    <a:stretch>
                      <a:fillRect/>
                    </a:stretch>
                  </pic:blipFill>
                  <pic:spPr>
                    <a:xfrm>
                      <a:off x="0" y="0"/>
                      <a:ext cx="2598810" cy="2500313"/>
                    </a:xfrm>
                    <a:prstGeom prst="rect">
                      <a:avLst/>
                    </a:prstGeom>
                    <a:ln/>
                  </pic:spPr>
                </pic:pic>
              </a:graphicData>
            </a:graphic>
          </wp:inline>
        </w:drawing>
      </w:r>
    </w:p>
    <w:p w14:paraId="4237AC99" w14:textId="77777777" w:rsidR="00EB1BDD" w:rsidRDefault="00EB1BDD">
      <w:pPr>
        <w:rPr>
          <w:b/>
          <w:sz w:val="25"/>
          <w:szCs w:val="25"/>
        </w:rPr>
      </w:pPr>
    </w:p>
    <w:p w14:paraId="6CE543B8" w14:textId="77777777" w:rsidR="00EB1BDD" w:rsidRDefault="008017A1">
      <w:pPr>
        <w:rPr>
          <w:sz w:val="25"/>
          <w:szCs w:val="25"/>
        </w:rPr>
      </w:pPr>
      <w:r>
        <w:rPr>
          <w:sz w:val="25"/>
          <w:szCs w:val="25"/>
        </w:rPr>
        <w:lastRenderedPageBreak/>
        <w:t>Appendix F. – Market Condition from Zillow Listed around The Parcel</w:t>
      </w:r>
      <w:r>
        <w:rPr>
          <w:noProof/>
          <w:sz w:val="25"/>
          <w:szCs w:val="25"/>
        </w:rPr>
        <w:drawing>
          <wp:inline distT="0" distB="0" distL="0" distR="0" wp14:anchorId="54ABC012" wp14:editId="5BF4513F">
            <wp:extent cx="4363810" cy="2086113"/>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4363810" cy="2086113"/>
                    </a:xfrm>
                    <a:prstGeom prst="rect">
                      <a:avLst/>
                    </a:prstGeom>
                    <a:ln/>
                  </pic:spPr>
                </pic:pic>
              </a:graphicData>
            </a:graphic>
          </wp:inline>
        </w:drawing>
      </w:r>
    </w:p>
    <w:p w14:paraId="3263D764" w14:textId="77777777" w:rsidR="00EB1BDD" w:rsidRDefault="008017A1">
      <w:pPr>
        <w:rPr>
          <w:sz w:val="25"/>
          <w:szCs w:val="25"/>
        </w:rPr>
      </w:pPr>
      <w:r>
        <w:rPr>
          <w:noProof/>
          <w:sz w:val="25"/>
          <w:szCs w:val="25"/>
        </w:rPr>
        <w:drawing>
          <wp:inline distT="0" distB="0" distL="0" distR="0" wp14:anchorId="46DDCE81" wp14:editId="464804ED">
            <wp:extent cx="4331627" cy="5719479"/>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4331627" cy="5719479"/>
                    </a:xfrm>
                    <a:prstGeom prst="rect">
                      <a:avLst/>
                    </a:prstGeom>
                    <a:ln/>
                  </pic:spPr>
                </pic:pic>
              </a:graphicData>
            </a:graphic>
          </wp:inline>
        </w:drawing>
      </w:r>
    </w:p>
    <w:p w14:paraId="3B4AE062" w14:textId="77777777" w:rsidR="00EB1BDD" w:rsidRDefault="00EB1BDD"/>
    <w:p w14:paraId="428EED43" w14:textId="77777777" w:rsidR="00EB1BDD" w:rsidRDefault="008017A1">
      <w:pPr>
        <w:rPr>
          <w:rFonts w:ascii="Calibri" w:eastAsia="Calibri" w:hAnsi="Calibri" w:cs="Calibri"/>
          <w:b/>
          <w:sz w:val="32"/>
          <w:szCs w:val="32"/>
        </w:rPr>
      </w:pPr>
      <w:r>
        <w:rPr>
          <w:rFonts w:ascii="Calibri" w:eastAsia="Calibri" w:hAnsi="Calibri" w:cs="Calibri"/>
          <w:b/>
          <w:sz w:val="32"/>
          <w:szCs w:val="32"/>
        </w:rPr>
        <w:t>Site Used</w:t>
      </w:r>
    </w:p>
    <w:p w14:paraId="0030FF22" w14:textId="77777777" w:rsidR="00EB1BDD" w:rsidRDefault="00EB1BDD">
      <w:pPr>
        <w:rPr>
          <w:sz w:val="25"/>
          <w:szCs w:val="25"/>
        </w:rPr>
      </w:pPr>
    </w:p>
    <w:p w14:paraId="72B85C04" w14:textId="77777777" w:rsidR="00EB1BDD" w:rsidRDefault="008017A1">
      <w:pPr>
        <w:rPr>
          <w:rFonts w:ascii="Cambria" w:eastAsia="Cambria" w:hAnsi="Cambria" w:cs="Cambria"/>
          <w:color w:val="0070C0"/>
          <w:sz w:val="24"/>
          <w:szCs w:val="24"/>
          <w:u w:val="single"/>
        </w:rPr>
      </w:pPr>
      <w:r>
        <w:rPr>
          <w:sz w:val="25"/>
          <w:szCs w:val="25"/>
        </w:rPr>
        <w:t>Zillow – Parcel Listed</w:t>
      </w:r>
    </w:p>
    <w:p w14:paraId="25AF0D27" w14:textId="77777777" w:rsidR="00EB1BDD" w:rsidRDefault="007D4464">
      <w:pPr>
        <w:rPr>
          <w:rFonts w:ascii="Cambria" w:eastAsia="Cambria" w:hAnsi="Cambria" w:cs="Cambria"/>
          <w:color w:val="0070C0"/>
          <w:sz w:val="24"/>
          <w:szCs w:val="24"/>
        </w:rPr>
      </w:pPr>
      <w:hyperlink r:id="rId43">
        <w:r w:rsidR="008017A1">
          <w:rPr>
            <w:rFonts w:ascii="Cambria" w:eastAsia="Cambria" w:hAnsi="Cambria" w:cs="Cambria"/>
            <w:color w:val="0070C0"/>
            <w:sz w:val="24"/>
            <w:szCs w:val="24"/>
            <w:u w:val="single"/>
          </w:rPr>
          <w:t>https://www.zillow.com/savedhomes/for_sale/96660212_zpid/1_pnd/47.748752,-122.224328,47.732677,-122.241709_rect/15_zm/1_rs/1_fr/</w:t>
        </w:r>
      </w:hyperlink>
    </w:p>
    <w:p w14:paraId="4798513B" w14:textId="77777777" w:rsidR="00EB1BDD" w:rsidRDefault="00EB1BDD">
      <w:pPr>
        <w:rPr>
          <w:rFonts w:ascii="Cambria" w:eastAsia="Cambria" w:hAnsi="Cambria" w:cs="Cambria"/>
          <w:color w:val="0070C0"/>
          <w:sz w:val="24"/>
          <w:szCs w:val="24"/>
        </w:rPr>
      </w:pPr>
    </w:p>
    <w:p w14:paraId="397129E3" w14:textId="77777777" w:rsidR="00EB1BDD" w:rsidRDefault="008017A1">
      <w:pPr>
        <w:rPr>
          <w:rFonts w:ascii="Cambria" w:eastAsia="Cambria" w:hAnsi="Cambria" w:cs="Cambria"/>
          <w:color w:val="0070C0"/>
          <w:sz w:val="24"/>
          <w:szCs w:val="24"/>
          <w:u w:val="single"/>
        </w:rPr>
      </w:pPr>
      <w:r>
        <w:rPr>
          <w:sz w:val="25"/>
          <w:szCs w:val="25"/>
        </w:rPr>
        <w:t>Zoning Regulation - Kenmore</w:t>
      </w:r>
    </w:p>
    <w:p w14:paraId="4560C10E" w14:textId="77777777" w:rsidR="00EB1BDD" w:rsidRDefault="007D4464">
      <w:pPr>
        <w:rPr>
          <w:rFonts w:ascii="Cambria" w:eastAsia="Cambria" w:hAnsi="Cambria" w:cs="Cambria"/>
          <w:color w:val="0070C0"/>
          <w:sz w:val="24"/>
          <w:szCs w:val="24"/>
        </w:rPr>
      </w:pPr>
      <w:hyperlink r:id="rId44" w:anchor="18.21">
        <w:r w:rsidR="008017A1">
          <w:rPr>
            <w:rFonts w:ascii="Cambria" w:eastAsia="Cambria" w:hAnsi="Cambria" w:cs="Cambria"/>
            <w:color w:val="0070C0"/>
            <w:sz w:val="24"/>
            <w:szCs w:val="24"/>
            <w:u w:val="single"/>
          </w:rPr>
          <w:t>https://www.codepublishing.com/WA/Kenmore/html/Kenmore18/Kenmore1821.html#18.21</w:t>
        </w:r>
      </w:hyperlink>
    </w:p>
    <w:p w14:paraId="2BDB1CE4" w14:textId="77777777" w:rsidR="00EB1BDD" w:rsidRDefault="00EB1BDD">
      <w:pPr>
        <w:rPr>
          <w:sz w:val="25"/>
          <w:szCs w:val="25"/>
        </w:rPr>
      </w:pPr>
    </w:p>
    <w:p w14:paraId="0FF01266" w14:textId="77777777" w:rsidR="00EB1BDD" w:rsidRDefault="008017A1">
      <w:pPr>
        <w:rPr>
          <w:rFonts w:ascii="Cambria" w:eastAsia="Cambria" w:hAnsi="Cambria" w:cs="Cambria"/>
          <w:color w:val="0070C0"/>
          <w:sz w:val="24"/>
          <w:szCs w:val="24"/>
          <w:u w:val="single"/>
        </w:rPr>
      </w:pPr>
      <w:r>
        <w:rPr>
          <w:sz w:val="25"/>
          <w:szCs w:val="25"/>
        </w:rPr>
        <w:t>Zoning Map - Kenmore</w:t>
      </w:r>
    </w:p>
    <w:p w14:paraId="07FE960B" w14:textId="77777777" w:rsidR="00EB1BDD" w:rsidRDefault="007D4464">
      <w:pPr>
        <w:rPr>
          <w:rFonts w:ascii="Cambria" w:eastAsia="Cambria" w:hAnsi="Cambria" w:cs="Cambria"/>
          <w:color w:val="0070C0"/>
          <w:sz w:val="24"/>
          <w:szCs w:val="24"/>
        </w:rPr>
      </w:pPr>
      <w:hyperlink r:id="rId45">
        <w:r w:rsidR="008017A1">
          <w:rPr>
            <w:rFonts w:ascii="Cambria" w:eastAsia="Cambria" w:hAnsi="Cambria" w:cs="Cambria"/>
            <w:color w:val="0070C0"/>
            <w:sz w:val="24"/>
            <w:szCs w:val="24"/>
            <w:u w:val="single"/>
          </w:rPr>
          <w:t>http://kenmorewa.gov/sites/default/files/Development_Services/2015%20May%20Kenmore%20zoning_600dpi.pdf</w:t>
        </w:r>
      </w:hyperlink>
    </w:p>
    <w:p w14:paraId="4CCEE64F" w14:textId="77777777" w:rsidR="00EB1BDD" w:rsidRDefault="00EB1BDD">
      <w:pPr>
        <w:rPr>
          <w:rFonts w:ascii="Cambria" w:eastAsia="Cambria" w:hAnsi="Cambria" w:cs="Cambria"/>
          <w:color w:val="0070C0"/>
          <w:sz w:val="24"/>
          <w:szCs w:val="24"/>
        </w:rPr>
      </w:pPr>
    </w:p>
    <w:p w14:paraId="38663506" w14:textId="77777777" w:rsidR="00EB1BDD" w:rsidRDefault="008017A1">
      <w:pPr>
        <w:rPr>
          <w:rFonts w:ascii="Cambria" w:eastAsia="Cambria" w:hAnsi="Cambria" w:cs="Cambria"/>
          <w:color w:val="0070C0"/>
          <w:sz w:val="24"/>
          <w:szCs w:val="24"/>
          <w:u w:val="single"/>
        </w:rPr>
      </w:pPr>
      <w:r>
        <w:rPr>
          <w:sz w:val="25"/>
          <w:szCs w:val="25"/>
        </w:rPr>
        <w:t xml:space="preserve">Income </w:t>
      </w:r>
      <w:proofErr w:type="gramStart"/>
      <w:r>
        <w:rPr>
          <w:sz w:val="25"/>
          <w:szCs w:val="25"/>
        </w:rPr>
        <w:t>By</w:t>
      </w:r>
      <w:proofErr w:type="gramEnd"/>
      <w:r>
        <w:rPr>
          <w:sz w:val="25"/>
          <w:szCs w:val="25"/>
        </w:rPr>
        <w:t xml:space="preserve"> Zip Code</w:t>
      </w:r>
    </w:p>
    <w:p w14:paraId="440CF63B" w14:textId="77777777" w:rsidR="00EB1BDD" w:rsidRDefault="007D4464">
      <w:pPr>
        <w:rPr>
          <w:rFonts w:ascii="Cambria" w:eastAsia="Cambria" w:hAnsi="Cambria" w:cs="Cambria"/>
          <w:color w:val="0070C0"/>
          <w:sz w:val="24"/>
          <w:szCs w:val="24"/>
        </w:rPr>
      </w:pPr>
      <w:hyperlink r:id="rId46">
        <w:r w:rsidR="008017A1">
          <w:rPr>
            <w:rFonts w:ascii="Cambria" w:eastAsia="Cambria" w:hAnsi="Cambria" w:cs="Cambria"/>
            <w:color w:val="0070C0"/>
            <w:sz w:val="24"/>
            <w:szCs w:val="24"/>
            <w:u w:val="single"/>
          </w:rPr>
          <w:t>https://www.incomebyzipcode.com/washington/98028</w:t>
        </w:r>
      </w:hyperlink>
    </w:p>
    <w:p w14:paraId="404F011D" w14:textId="77777777" w:rsidR="00EB1BDD" w:rsidRDefault="00EB1BDD">
      <w:pPr>
        <w:rPr>
          <w:rFonts w:ascii="Cambria" w:eastAsia="Cambria" w:hAnsi="Cambria" w:cs="Cambria"/>
          <w:color w:val="0070C0"/>
          <w:sz w:val="24"/>
          <w:szCs w:val="24"/>
        </w:rPr>
      </w:pPr>
    </w:p>
    <w:p w14:paraId="31EA7A8C" w14:textId="77777777" w:rsidR="00EB1BDD" w:rsidRDefault="008017A1">
      <w:pPr>
        <w:rPr>
          <w:rFonts w:ascii="Cambria" w:eastAsia="Cambria" w:hAnsi="Cambria" w:cs="Cambria"/>
          <w:color w:val="0070C0"/>
          <w:sz w:val="24"/>
          <w:szCs w:val="24"/>
          <w:u w:val="single"/>
        </w:rPr>
      </w:pPr>
      <w:r>
        <w:rPr>
          <w:sz w:val="25"/>
          <w:szCs w:val="25"/>
        </w:rPr>
        <w:t>Trulia - Kenmore</w:t>
      </w:r>
    </w:p>
    <w:p w14:paraId="0B6C0B81" w14:textId="77777777" w:rsidR="00EB1BDD" w:rsidRDefault="007D4464">
      <w:pPr>
        <w:rPr>
          <w:rFonts w:ascii="Cambria" w:eastAsia="Cambria" w:hAnsi="Cambria" w:cs="Cambria"/>
          <w:color w:val="0070C0"/>
          <w:sz w:val="24"/>
          <w:szCs w:val="24"/>
        </w:rPr>
      </w:pPr>
      <w:hyperlink r:id="rId47">
        <w:r w:rsidR="008017A1">
          <w:rPr>
            <w:rFonts w:ascii="Cambria" w:eastAsia="Cambria" w:hAnsi="Cambria" w:cs="Cambria"/>
            <w:color w:val="0070C0"/>
            <w:sz w:val="24"/>
            <w:szCs w:val="24"/>
            <w:u w:val="single"/>
          </w:rPr>
          <w:t>https://www.trulia.com/real_estate/Kenmore-Washington/market-trends/</w:t>
        </w:r>
      </w:hyperlink>
    </w:p>
    <w:p w14:paraId="4B0201A5" w14:textId="77777777" w:rsidR="00EB1BDD" w:rsidRDefault="00EB1BDD">
      <w:pPr>
        <w:rPr>
          <w:sz w:val="25"/>
          <w:szCs w:val="25"/>
        </w:rPr>
      </w:pPr>
    </w:p>
    <w:p w14:paraId="2705F01C" w14:textId="77777777" w:rsidR="00EB1BDD" w:rsidRDefault="008017A1">
      <w:pPr>
        <w:rPr>
          <w:rFonts w:ascii="Cambria" w:eastAsia="Cambria" w:hAnsi="Cambria" w:cs="Cambria"/>
          <w:color w:val="0070C0"/>
          <w:sz w:val="24"/>
          <w:szCs w:val="24"/>
          <w:u w:val="single"/>
        </w:rPr>
      </w:pPr>
      <w:r>
        <w:rPr>
          <w:sz w:val="25"/>
          <w:szCs w:val="25"/>
        </w:rPr>
        <w:t>Zillow – Research Center</w:t>
      </w:r>
    </w:p>
    <w:p w14:paraId="29D91B7E" w14:textId="77777777" w:rsidR="00EB1BDD" w:rsidRDefault="007D4464">
      <w:pPr>
        <w:rPr>
          <w:rFonts w:ascii="Cambria" w:eastAsia="Cambria" w:hAnsi="Cambria" w:cs="Cambria"/>
          <w:i/>
          <w:color w:val="0070C0"/>
          <w:sz w:val="24"/>
          <w:szCs w:val="24"/>
        </w:rPr>
      </w:pPr>
      <w:hyperlink r:id="rId48">
        <w:r w:rsidR="008017A1">
          <w:rPr>
            <w:rFonts w:ascii="Cambria" w:eastAsia="Cambria" w:hAnsi="Cambria" w:cs="Cambria"/>
            <w:i/>
            <w:color w:val="0070C0"/>
            <w:sz w:val="24"/>
            <w:szCs w:val="24"/>
            <w:u w:val="single"/>
          </w:rPr>
          <w:t>https://www.zillow.com/research/data/</w:t>
        </w:r>
      </w:hyperlink>
    </w:p>
    <w:p w14:paraId="090088E5" w14:textId="77777777" w:rsidR="00EB1BDD" w:rsidRDefault="00EB1BDD">
      <w:pPr>
        <w:rPr>
          <w:sz w:val="25"/>
          <w:szCs w:val="25"/>
        </w:rPr>
      </w:pPr>
    </w:p>
    <w:p w14:paraId="74905DAE" w14:textId="77777777" w:rsidR="00EB1BDD" w:rsidRDefault="008017A1">
      <w:pPr>
        <w:rPr>
          <w:rFonts w:ascii="Cambria" w:eastAsia="Cambria" w:hAnsi="Cambria" w:cs="Cambria"/>
          <w:color w:val="0070C0"/>
          <w:sz w:val="24"/>
          <w:szCs w:val="24"/>
          <w:u w:val="single"/>
        </w:rPr>
      </w:pPr>
      <w:r>
        <w:rPr>
          <w:sz w:val="25"/>
          <w:szCs w:val="25"/>
        </w:rPr>
        <w:t>CoStar – Kenmore (KPI)</w:t>
      </w:r>
    </w:p>
    <w:p w14:paraId="6166C7A8" w14:textId="77777777" w:rsidR="00EB1BDD" w:rsidRDefault="007D4464">
      <w:pPr>
        <w:rPr>
          <w:rFonts w:ascii="Cambria" w:eastAsia="Cambria" w:hAnsi="Cambria" w:cs="Cambria"/>
          <w:color w:val="0070C0"/>
          <w:sz w:val="24"/>
          <w:szCs w:val="24"/>
        </w:rPr>
      </w:pPr>
      <w:hyperlink r:id="rId49">
        <w:r w:rsidR="008017A1">
          <w:rPr>
            <w:rFonts w:ascii="Cambria" w:eastAsia="Cambria" w:hAnsi="Cambria" w:cs="Cambria"/>
            <w:color w:val="0070C0"/>
            <w:sz w:val="24"/>
            <w:szCs w:val="24"/>
            <w:u w:val="single"/>
          </w:rPr>
          <w:t>https://product.costar.com/search/all-properties/analytics/kpi</w:t>
        </w:r>
      </w:hyperlink>
    </w:p>
    <w:p w14:paraId="3F066427" w14:textId="77777777" w:rsidR="00EB1BDD" w:rsidRDefault="00EB1BDD">
      <w:pPr>
        <w:rPr>
          <w:sz w:val="25"/>
          <w:szCs w:val="25"/>
        </w:rPr>
      </w:pPr>
    </w:p>
    <w:p w14:paraId="733D0A20" w14:textId="77777777" w:rsidR="00EB1BDD" w:rsidRDefault="008017A1">
      <w:pPr>
        <w:rPr>
          <w:rFonts w:ascii="Cambria" w:eastAsia="Cambria" w:hAnsi="Cambria" w:cs="Cambria"/>
          <w:color w:val="0070C0"/>
          <w:sz w:val="24"/>
          <w:szCs w:val="24"/>
          <w:u w:val="single"/>
        </w:rPr>
      </w:pPr>
      <w:r>
        <w:rPr>
          <w:sz w:val="25"/>
          <w:szCs w:val="25"/>
        </w:rPr>
        <w:t>Census – Factfinder</w:t>
      </w:r>
    </w:p>
    <w:p w14:paraId="07BA654A" w14:textId="77777777" w:rsidR="00EB1BDD" w:rsidRDefault="007D4464">
      <w:pPr>
        <w:rPr>
          <w:rFonts w:ascii="Cambria" w:eastAsia="Cambria" w:hAnsi="Cambria" w:cs="Cambria"/>
          <w:color w:val="0070C0"/>
          <w:sz w:val="24"/>
          <w:szCs w:val="24"/>
        </w:rPr>
      </w:pPr>
      <w:hyperlink r:id="rId50">
        <w:r w:rsidR="008017A1">
          <w:rPr>
            <w:rFonts w:ascii="Cambria" w:eastAsia="Cambria" w:hAnsi="Cambria" w:cs="Cambria"/>
            <w:color w:val="0070C0"/>
            <w:sz w:val="24"/>
            <w:szCs w:val="24"/>
            <w:u w:val="single"/>
          </w:rPr>
          <w:t>https://factfinder.census.gov/faces/nav/jsf/pages/index.xhtml</w:t>
        </w:r>
      </w:hyperlink>
    </w:p>
    <w:p w14:paraId="14CC7E82" w14:textId="77777777" w:rsidR="00EB1BDD" w:rsidRDefault="00EB1BDD">
      <w:pPr>
        <w:rPr>
          <w:b/>
          <w:sz w:val="25"/>
          <w:szCs w:val="25"/>
        </w:rPr>
      </w:pPr>
    </w:p>
    <w:sectPr w:rsidR="00EB1B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0699"/>
    <w:multiLevelType w:val="multilevel"/>
    <w:tmpl w:val="92761D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54F2A92"/>
    <w:multiLevelType w:val="multilevel"/>
    <w:tmpl w:val="97565E66"/>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8279A0"/>
    <w:multiLevelType w:val="multilevel"/>
    <w:tmpl w:val="7A3A6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F81FB0"/>
    <w:multiLevelType w:val="multilevel"/>
    <w:tmpl w:val="954E65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BDD"/>
    <w:rsid w:val="0003658A"/>
    <w:rsid w:val="007D4464"/>
    <w:rsid w:val="008017A1"/>
    <w:rsid w:val="008A62A0"/>
    <w:rsid w:val="00BC0E28"/>
    <w:rsid w:val="00EB1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85FE1"/>
  <w15:docId w15:val="{8B8B31B0-8B7E-4B85-B099-44B7F231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A62A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2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hyperlink" Target="https://www.trulia.com/real_estate/Kenmore-Washington/market-trends/" TargetMode="External"/><Relationship Id="rId50" Type="http://schemas.openxmlformats.org/officeDocument/2006/relationships/hyperlink" Target="https://factfinder.census.gov/faces/nav/jsf/pages/index.x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hyperlink" Target="https://www.incomebyzipcode.com/washington/98028"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hyperlink" Target="http://kenmorewa.gov/sites/default/files/Development_Services/2015%20May%20Kenmore%20zoning_600dpi.pdf"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hyperlink" Target="https://product.costar.com/search/all-properties/analytics/kpi"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s://www.codepublishing.com/WA/Kenmore/html/Kenmore18/Kenmore1821.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https://www.zillow.com/savedhomes/for_sale/96660212_zpid/1_pnd/47.748752,-122.224328,47.732677,-122.241709_rect/15_zm/1_rs/1_fr/" TargetMode="External"/><Relationship Id="rId48" Type="http://schemas.openxmlformats.org/officeDocument/2006/relationships/hyperlink" Target="https://www.zillow.com/research/data/" TargetMode="External"/><Relationship Id="rId8" Type="http://schemas.openxmlformats.org/officeDocument/2006/relationships/image" Target="media/image4.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2183</Words>
  <Characters>12444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Matt Disston</cp:lastModifiedBy>
  <cp:revision>2</cp:revision>
  <dcterms:created xsi:type="dcterms:W3CDTF">2021-05-24T19:08:00Z</dcterms:created>
  <dcterms:modified xsi:type="dcterms:W3CDTF">2021-05-24T19:08:00Z</dcterms:modified>
</cp:coreProperties>
</file>